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425"/>
        <w:gridCol w:w="6655"/>
      </w:tblGrid>
      <w:tr w:rsidR="008D59CE" w:rsidRPr="003A118E" w:rsidTr="00975744">
        <w:trPr>
          <w:trHeight w:val="3960"/>
          <w:jc w:val="center"/>
        </w:trPr>
        <w:tc>
          <w:tcPr>
            <w:tcW w:w="1450" w:type="pct"/>
            <w:tcBorders>
              <w:top w:val="nil"/>
              <w:left w:val="nil"/>
              <w:bottom w:val="nil"/>
              <w:right w:val="nil"/>
            </w:tcBorders>
            <w:shd w:val="clear" w:color="auto" w:fill="auto"/>
          </w:tcPr>
          <w:p w:rsidR="008D59CE" w:rsidRPr="003A118E" w:rsidRDefault="008D59CE" w:rsidP="00975744">
            <w:pPr>
              <w:pStyle w:val="NoSpacing"/>
              <w:jc w:val="center"/>
              <w:rPr>
                <w:sz w:val="36"/>
                <w:szCs w:val="36"/>
              </w:rPr>
            </w:pPr>
            <w:r w:rsidRPr="003A118E">
              <w:rPr>
                <w:noProof/>
                <w:lang w:val="fr-CH" w:eastAsia="fr-CH"/>
              </w:rPr>
              <mc:AlternateContent>
                <mc:Choice Requires="wps">
                  <w:drawing>
                    <wp:anchor distT="0" distB="0" distL="114300" distR="114300" simplePos="0" relativeHeight="251674112" behindDoc="0" locked="0" layoutInCell="1" allowOverlap="1" wp14:anchorId="616F5656" wp14:editId="075002A7">
                      <wp:simplePos x="0" y="0"/>
                      <wp:positionH relativeFrom="column">
                        <wp:posOffset>-115957</wp:posOffset>
                      </wp:positionH>
                      <wp:positionV relativeFrom="paragraph">
                        <wp:posOffset>695380</wp:posOffset>
                      </wp:positionV>
                      <wp:extent cx="2121408" cy="1504122"/>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1504122"/>
                              </a:xfrm>
                              <a:prstGeom prst="rect">
                                <a:avLst/>
                              </a:prstGeom>
                              <a:solidFill>
                                <a:srgbClr val="FFFFFF"/>
                              </a:solidFill>
                              <a:ln w="9525">
                                <a:noFill/>
                                <a:miter lim="800000"/>
                                <a:headEnd/>
                                <a:tailEnd/>
                              </a:ln>
                            </wps:spPr>
                            <wps:txbx>
                              <w:txbxContent>
                                <w:p w:rsidR="00975744" w:rsidRDefault="00975744" w:rsidP="008D59CE">
                                  <w:pPr>
                                    <w:jc w:val="center"/>
                                    <w:rPr>
                                      <w:sz w:val="18"/>
                                      <w:szCs w:val="18"/>
                                    </w:rPr>
                                  </w:pPr>
                                  <w:r w:rsidRPr="00757C6F">
                                    <w:rPr>
                                      <w:sz w:val="18"/>
                                      <w:szCs w:val="18"/>
                                    </w:rPr>
                                    <w:t>Bioenergy and Energy Planning Research Group</w:t>
                                  </w:r>
                                </w:p>
                                <w:p w:rsidR="00975744" w:rsidRPr="00E879D1" w:rsidRDefault="00975744" w:rsidP="008D59CE">
                                  <w:pPr>
                                    <w:spacing w:after="0" w:line="240" w:lineRule="auto"/>
                                    <w:jc w:val="center"/>
                                    <w:rPr>
                                      <w:b/>
                                      <w:sz w:val="24"/>
                                      <w:szCs w:val="24"/>
                                    </w:rPr>
                                  </w:pPr>
                                  <w:r>
                                    <w:rPr>
                                      <w:b/>
                                      <w:sz w:val="24"/>
                                      <w:szCs w:val="24"/>
                                    </w:rPr>
                                    <w:t>Author</w:t>
                                  </w:r>
                                </w:p>
                                <w:p w:rsidR="00975744" w:rsidRDefault="00975744" w:rsidP="008D59CE">
                                  <w:pPr>
                                    <w:spacing w:after="0" w:line="240" w:lineRule="auto"/>
                                    <w:jc w:val="center"/>
                                    <w:rPr>
                                      <w:sz w:val="24"/>
                                      <w:szCs w:val="24"/>
                                    </w:rPr>
                                  </w:pPr>
                                  <w:r w:rsidRPr="00E879D1">
                                    <w:rPr>
                                      <w:sz w:val="24"/>
                                      <w:szCs w:val="24"/>
                                    </w:rPr>
                                    <w:t>Prof. Dr. Edgard Gnansounou</w:t>
                                  </w:r>
                                </w:p>
                                <w:p w:rsidR="00975744" w:rsidRDefault="00975744" w:rsidP="008D59CE">
                                  <w:pPr>
                                    <w:spacing w:after="0" w:line="240" w:lineRule="auto"/>
                                    <w:jc w:val="center"/>
                                    <w:rPr>
                                      <w:sz w:val="24"/>
                                      <w:szCs w:val="24"/>
                                    </w:rPr>
                                  </w:pPr>
                                  <w:r>
                                    <w:rPr>
                                      <w:sz w:val="24"/>
                                      <w:szCs w:val="24"/>
                                    </w:rPr>
                                    <w:t>Dr. Elia Ruiz Pachón</w:t>
                                  </w:r>
                                </w:p>
                                <w:p w:rsidR="00975744" w:rsidRDefault="00975744" w:rsidP="008D59CE">
                                  <w:pPr>
                                    <w:spacing w:after="0" w:line="240" w:lineRule="auto"/>
                                    <w:jc w:val="center"/>
                                    <w:rPr>
                                      <w:sz w:val="24"/>
                                      <w:szCs w:val="24"/>
                                    </w:rPr>
                                  </w:pPr>
                                  <w:r>
                                    <w:rPr>
                                      <w:sz w:val="24"/>
                                      <w:szCs w:val="24"/>
                                    </w:rPr>
                                    <w:t>Dr. Juan Villegas</w:t>
                                  </w:r>
                                </w:p>
                                <w:p w:rsidR="00975744" w:rsidRDefault="00975744" w:rsidP="008D59CE">
                                  <w:pPr>
                                    <w:spacing w:after="0" w:line="240" w:lineRule="auto"/>
                                    <w:jc w:val="center"/>
                                    <w:rPr>
                                      <w:sz w:val="24"/>
                                      <w:szCs w:val="24"/>
                                    </w:rPr>
                                  </w:pPr>
                                </w:p>
                                <w:p w:rsidR="00975744" w:rsidRPr="00E879D1" w:rsidRDefault="00975744" w:rsidP="008D59CE">
                                  <w:pPr>
                                    <w:spacing w:after="0" w:line="240" w:lineRule="auto"/>
                                    <w:jc w:val="center"/>
                                    <w:rPr>
                                      <w:sz w:val="24"/>
                                      <w:szCs w:val="24"/>
                                    </w:rPr>
                                  </w:pPr>
                                </w:p>
                                <w:p w:rsidR="00975744" w:rsidRPr="00E879D1" w:rsidRDefault="00975744" w:rsidP="008D59CE">
                                  <w:pPr>
                                    <w:spacing w:after="0" w:line="240" w:lineRule="auto"/>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F5656" id="_x0000_t202" coordsize="21600,21600" o:spt="202" path="m,l,21600r21600,l21600,xe">
                      <v:stroke joinstyle="miter"/>
                      <v:path gradientshapeok="t" o:connecttype="rect"/>
                    </v:shapetype>
                    <v:shape id="Text Box 2" o:spid="_x0000_s1026" type="#_x0000_t202" style="position:absolute;left:0;text-align:left;margin-left:-9.15pt;margin-top:54.75pt;width:167.05pt;height:11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" stroked="f">
                      <v:textbox>
                        <w:txbxContent>
                          <w:p w:rsidR="00975744" w:rsidRDefault="00975744" w:rsidP="008D59CE">
                            <w:pPr>
                              <w:jc w:val="center"/>
                              <w:rPr>
                                <w:sz w:val="18"/>
                                <w:szCs w:val="18"/>
                              </w:rPr>
                            </w:pPr>
                            <w:r w:rsidRPr="00757C6F">
                              <w:rPr>
                                <w:sz w:val="18"/>
                                <w:szCs w:val="18"/>
                              </w:rPr>
                              <w:t>Bioenergy and Energy Planning Research Group</w:t>
                            </w:r>
                          </w:p>
                          <w:p w:rsidR="00975744" w:rsidRPr="00E879D1" w:rsidRDefault="00975744" w:rsidP="008D59CE">
                            <w:pPr>
                              <w:spacing w:after="0" w:line="240" w:lineRule="auto"/>
                              <w:jc w:val="center"/>
                              <w:rPr>
                                <w:b/>
                                <w:sz w:val="24"/>
                                <w:szCs w:val="24"/>
                              </w:rPr>
                            </w:pPr>
                            <w:r>
                              <w:rPr>
                                <w:b/>
                                <w:sz w:val="24"/>
                                <w:szCs w:val="24"/>
                              </w:rPr>
                              <w:t>Author</w:t>
                            </w:r>
                          </w:p>
                          <w:p w:rsidR="00975744" w:rsidRDefault="00975744" w:rsidP="008D59CE">
                            <w:pPr>
                              <w:spacing w:after="0" w:line="240" w:lineRule="auto"/>
                              <w:jc w:val="center"/>
                              <w:rPr>
                                <w:sz w:val="24"/>
                                <w:szCs w:val="24"/>
                              </w:rPr>
                            </w:pPr>
                            <w:r w:rsidRPr="00E879D1">
                              <w:rPr>
                                <w:sz w:val="24"/>
                                <w:szCs w:val="24"/>
                              </w:rPr>
                              <w:t>Prof. Dr. Edgard Gnansounou</w:t>
                            </w:r>
                          </w:p>
                          <w:p w:rsidR="00975744" w:rsidRDefault="00975744" w:rsidP="008D59CE">
                            <w:pPr>
                              <w:spacing w:after="0" w:line="240" w:lineRule="auto"/>
                              <w:jc w:val="center"/>
                              <w:rPr>
                                <w:sz w:val="24"/>
                                <w:szCs w:val="24"/>
                              </w:rPr>
                            </w:pPr>
                            <w:r>
                              <w:rPr>
                                <w:sz w:val="24"/>
                                <w:szCs w:val="24"/>
                              </w:rPr>
                              <w:t>Dr. Elia Ruiz Pachón</w:t>
                            </w:r>
                          </w:p>
                          <w:p w:rsidR="00975744" w:rsidRDefault="00975744" w:rsidP="008D59CE">
                            <w:pPr>
                              <w:spacing w:after="0" w:line="240" w:lineRule="auto"/>
                              <w:jc w:val="center"/>
                              <w:rPr>
                                <w:sz w:val="24"/>
                                <w:szCs w:val="24"/>
                              </w:rPr>
                            </w:pPr>
                            <w:r>
                              <w:rPr>
                                <w:sz w:val="24"/>
                                <w:szCs w:val="24"/>
                              </w:rPr>
                              <w:t>Dr. Juan Villegas</w:t>
                            </w:r>
                          </w:p>
                          <w:p w:rsidR="00975744" w:rsidRDefault="00975744" w:rsidP="008D59CE">
                            <w:pPr>
                              <w:spacing w:after="0" w:line="240" w:lineRule="auto"/>
                              <w:jc w:val="center"/>
                              <w:rPr>
                                <w:sz w:val="24"/>
                                <w:szCs w:val="24"/>
                              </w:rPr>
                            </w:pPr>
                          </w:p>
                          <w:p w:rsidR="00975744" w:rsidRPr="00E879D1" w:rsidRDefault="00975744" w:rsidP="008D59CE">
                            <w:pPr>
                              <w:spacing w:after="0" w:line="240" w:lineRule="auto"/>
                              <w:jc w:val="center"/>
                              <w:rPr>
                                <w:sz w:val="24"/>
                                <w:szCs w:val="24"/>
                              </w:rPr>
                            </w:pPr>
                          </w:p>
                          <w:p w:rsidR="00975744" w:rsidRPr="00E879D1" w:rsidRDefault="00975744" w:rsidP="008D59CE">
                            <w:pPr>
                              <w:spacing w:after="0" w:line="240" w:lineRule="auto"/>
                              <w:jc w:val="center"/>
                              <w:rPr>
                                <w:sz w:val="24"/>
                                <w:szCs w:val="24"/>
                              </w:rPr>
                            </w:pPr>
                          </w:p>
                        </w:txbxContent>
                      </v:textbox>
                    </v:shape>
                  </w:pict>
                </mc:Fallback>
              </mc:AlternateContent>
            </w:r>
            <w:r w:rsidRPr="003A118E">
              <w:rPr>
                <w:rFonts w:ascii="Times New Roman" w:hAnsi="Times New Roman"/>
                <w:noProof/>
                <w:sz w:val="8"/>
                <w:szCs w:val="8"/>
                <w:lang w:val="fr-CH" w:eastAsia="fr-CH"/>
              </w:rPr>
              <w:drawing>
                <wp:inline distT="0" distB="0" distL="0" distR="0" wp14:anchorId="2382793E" wp14:editId="5F71F851">
                  <wp:extent cx="446568" cy="650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38" cy="654897"/>
                          </a:xfrm>
                          <a:prstGeom prst="rect">
                            <a:avLst/>
                          </a:prstGeom>
                          <a:noFill/>
                          <a:ln>
                            <a:noFill/>
                          </a:ln>
                          <a:effectLst/>
                        </pic:spPr>
                      </pic:pic>
                    </a:graphicData>
                  </a:graphic>
                </wp:inline>
              </w:drawing>
            </w:r>
            <w:r w:rsidRPr="003A118E">
              <w:rPr>
                <w:noProof/>
                <w:lang w:val="fr-CH" w:eastAsia="fr-CH"/>
              </w:rPr>
              <w:drawing>
                <wp:inline distT="0" distB="0" distL="0" distR="0" wp14:anchorId="32502F7E" wp14:editId="493AB61C">
                  <wp:extent cx="1240396" cy="648586"/>
                  <wp:effectExtent l="0" t="0" r="0" b="0"/>
                  <wp:docPr id="22" name="Picture 22" descr="Logo%20055%20600dpi%20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Logo%20055%20600dpi%20LZ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361" cy="649614"/>
                          </a:xfrm>
                          <a:prstGeom prst="rect">
                            <a:avLst/>
                          </a:prstGeom>
                          <a:noFill/>
                          <a:ln>
                            <a:noFill/>
                          </a:ln>
                        </pic:spPr>
                      </pic:pic>
                    </a:graphicData>
                  </a:graphic>
                </wp:inline>
              </w:drawing>
            </w:r>
          </w:p>
        </w:tc>
        <w:tc>
          <w:tcPr>
            <w:tcW w:w="3550" w:type="pct"/>
            <w:tcBorders>
              <w:top w:val="nil"/>
              <w:left w:val="nil"/>
              <w:bottom w:val="nil"/>
              <w:right w:val="nil"/>
            </w:tcBorders>
            <w:shd w:val="clear" w:color="auto" w:fill="auto"/>
            <w:tcMar>
              <w:left w:w="115" w:type="dxa"/>
              <w:bottom w:w="115" w:type="dxa"/>
            </w:tcMar>
            <w:vAlign w:val="center"/>
          </w:tcPr>
          <w:p w:rsidR="008D59CE" w:rsidRPr="003A118E" w:rsidRDefault="008D59CE" w:rsidP="00975744">
            <w:pPr>
              <w:pStyle w:val="NoSpacing"/>
              <w:jc w:val="center"/>
              <w:rPr>
                <w:rFonts w:asciiTheme="majorHAnsi" w:eastAsiaTheme="majorEastAsia" w:hAnsiTheme="majorHAnsi" w:cstheme="majorBidi"/>
                <w:color w:val="775F55" w:themeColor="text2"/>
                <w:sz w:val="120"/>
                <w:szCs w:val="120"/>
              </w:rPr>
            </w:pPr>
            <w:r w:rsidRPr="003A118E">
              <w:rPr>
                <w:noProof/>
                <w:lang w:val="fr-CH" w:eastAsia="fr-CH"/>
              </w:rPr>
              <w:drawing>
                <wp:anchor distT="0" distB="0" distL="114300" distR="114300" simplePos="0" relativeHeight="251673088" behindDoc="0" locked="0" layoutInCell="1" allowOverlap="1" wp14:anchorId="52A56BBD" wp14:editId="2F231817">
                  <wp:simplePos x="0" y="0"/>
                  <wp:positionH relativeFrom="margin">
                    <wp:posOffset>759460</wp:posOffset>
                  </wp:positionH>
                  <wp:positionV relativeFrom="margin">
                    <wp:posOffset>639445</wp:posOffset>
                  </wp:positionV>
                  <wp:extent cx="2519680" cy="200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m_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200914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color w:val="775F55" w:themeColor="text2"/>
                  <w:sz w:val="90"/>
                  <w:szCs w:val="90"/>
                </w:rPr>
                <w:alias w:val="Title"/>
                <w:id w:val="541102321"/>
                <w:placeholder>
                  <w:docPart w:val="FEFD2994EA2A4B5CBC18E5D93C3B7244"/>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775F55" w:themeColor="text2"/>
                    <w:sz w:val="90"/>
                    <w:szCs w:val="90"/>
                    <w:lang w:val="fr-CH"/>
                  </w:rPr>
                  <w:t>P</w:t>
                </w:r>
                <w:r w:rsidRPr="007937E9">
                  <w:rPr>
                    <w:rFonts w:asciiTheme="majorHAnsi" w:eastAsiaTheme="majorEastAsia" w:hAnsiTheme="majorHAnsi" w:cstheme="majorBidi"/>
                    <w:color w:val="775F55" w:themeColor="text2"/>
                    <w:sz w:val="90"/>
                    <w:szCs w:val="90"/>
                    <w:lang w:val="fr-CH"/>
                  </w:rPr>
                  <w:t>r</w:t>
                </w:r>
                <w:r>
                  <w:rPr>
                    <w:rFonts w:asciiTheme="majorHAnsi" w:eastAsiaTheme="majorEastAsia" w:hAnsiTheme="majorHAnsi" w:cstheme="majorBidi"/>
                    <w:color w:val="775F55" w:themeColor="text2"/>
                    <w:sz w:val="90"/>
                    <w:szCs w:val="90"/>
                    <w:lang w:val="fr-CH"/>
                  </w:rPr>
                  <w:t>oEt</w:t>
                </w:r>
                <w:r w:rsidRPr="007937E9">
                  <w:rPr>
                    <w:rFonts w:asciiTheme="majorHAnsi" w:eastAsiaTheme="majorEastAsia" w:hAnsiTheme="majorHAnsi" w:cstheme="majorBidi"/>
                    <w:color w:val="775F55" w:themeColor="text2"/>
                    <w:sz w:val="90"/>
                    <w:szCs w:val="90"/>
                    <w:lang w:val="fr-CH"/>
                  </w:rPr>
                  <w:t>hanol2g</w:t>
                </w:r>
              </w:sdtContent>
            </w:sdt>
          </w:p>
        </w:tc>
      </w:tr>
      <w:tr w:rsidR="008D59CE" w:rsidRPr="003A118E" w:rsidTr="00975744">
        <w:trPr>
          <w:jc w:val="center"/>
        </w:trPr>
        <w:tc>
          <w:tcPr>
            <w:tcW w:w="1450" w:type="pct"/>
            <w:tcBorders>
              <w:top w:val="nil"/>
              <w:left w:val="nil"/>
              <w:bottom w:val="nil"/>
              <w:right w:val="nil"/>
            </w:tcBorders>
            <w:shd w:val="clear" w:color="auto" w:fill="auto"/>
          </w:tcPr>
          <w:p w:rsidR="008D59CE" w:rsidRPr="003A118E" w:rsidRDefault="008D59CE" w:rsidP="00975744">
            <w:pPr>
              <w:pStyle w:val="NoSpacing"/>
              <w:jc w:val="center"/>
              <w:rPr>
                <w:color w:val="EBDDC3" w:themeColor="background2"/>
              </w:rPr>
            </w:pPr>
            <w:r w:rsidRPr="003A118E">
              <w:rPr>
                <w:noProof/>
                <w:lang w:val="fr-CH" w:eastAsia="fr-CH"/>
              </w:rPr>
              <w:drawing>
                <wp:inline distT="0" distB="0" distL="0" distR="0" wp14:anchorId="69118730" wp14:editId="607C33DF">
                  <wp:extent cx="978195" cy="978195"/>
                  <wp:effectExtent l="0" t="0" r="0" b="0"/>
                  <wp:docPr id="3" name="Picture 3" descr="Logo_ProEthanol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Ethanol2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217" cy="978217"/>
                          </a:xfrm>
                          <a:prstGeom prst="rect">
                            <a:avLst/>
                          </a:prstGeom>
                          <a:noFill/>
                          <a:ln>
                            <a:noFill/>
                          </a:ln>
                        </pic:spPr>
                      </pic:pic>
                    </a:graphicData>
                  </a:graphic>
                </wp:inline>
              </w:drawing>
            </w:r>
          </w:p>
          <w:p w:rsidR="008D59CE" w:rsidRPr="003A118E" w:rsidRDefault="008D59CE" w:rsidP="00975744">
            <w:pPr>
              <w:pStyle w:val="NoSpacing"/>
              <w:jc w:val="center"/>
              <w:rPr>
                <w:color w:val="EBDDC3" w:themeColor="background2"/>
              </w:rPr>
            </w:pPr>
            <w:r w:rsidRPr="003A118E">
              <w:rPr>
                <w:noProof/>
                <w:lang w:val="fr-CH" w:eastAsia="fr-CH"/>
              </w:rPr>
              <w:drawing>
                <wp:inline distT="0" distB="0" distL="0" distR="0" wp14:anchorId="17DEE062" wp14:editId="5C52D86E">
                  <wp:extent cx="775970" cy="616585"/>
                  <wp:effectExtent l="0" t="0" r="5080" b="0"/>
                  <wp:docPr id="8" name="Picture 8" descr="7o-programa-quadr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o-programa-quadro-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5970" cy="616585"/>
                          </a:xfrm>
                          <a:prstGeom prst="rect">
                            <a:avLst/>
                          </a:prstGeom>
                          <a:noFill/>
                          <a:ln>
                            <a:noFill/>
                          </a:ln>
                        </pic:spPr>
                      </pic:pic>
                    </a:graphicData>
                  </a:graphic>
                </wp:inline>
              </w:drawing>
            </w:r>
            <w:r w:rsidRPr="003A118E">
              <w:rPr>
                <w:noProof/>
                <w:lang w:val="fr-CH" w:eastAsia="fr-CH"/>
              </w:rPr>
              <w:drawing>
                <wp:inline distT="0" distB="0" distL="0" distR="0" wp14:anchorId="7145E314" wp14:editId="21255E6B">
                  <wp:extent cx="1382627" cy="616688"/>
                  <wp:effectExtent l="0" t="0" r="8255" b="0"/>
                  <wp:docPr id="9" name="Picture 9" descr="logo 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NP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034" cy="617316"/>
                          </a:xfrm>
                          <a:prstGeom prst="rect">
                            <a:avLst/>
                          </a:prstGeom>
                          <a:noFill/>
                          <a:ln>
                            <a:noFill/>
                          </a:ln>
                        </pic:spPr>
                      </pic:pic>
                    </a:graphicData>
                  </a:graphic>
                </wp:inline>
              </w:drawing>
            </w:r>
          </w:p>
        </w:tc>
        <w:tc>
          <w:tcPr>
            <w:tcW w:w="3550" w:type="pct"/>
            <w:tcBorders>
              <w:top w:val="nil"/>
              <w:left w:val="nil"/>
              <w:bottom w:val="nil"/>
              <w:right w:val="nil"/>
            </w:tcBorders>
            <w:shd w:val="clear" w:color="auto" w:fill="auto"/>
            <w:tcMar>
              <w:left w:w="72" w:type="dxa"/>
              <w:bottom w:w="216" w:type="dxa"/>
              <w:right w:w="0" w:type="dxa"/>
            </w:tcMar>
          </w:tcPr>
          <w:p w:rsidR="008D59CE" w:rsidRPr="003A118E" w:rsidRDefault="008D59CE" w:rsidP="00975744">
            <w:pPr>
              <w:jc w:val="center"/>
            </w:pPr>
            <w:r w:rsidRPr="003A118E">
              <w:rPr>
                <w:noProof/>
                <w:lang w:val="fr-CH" w:eastAsia="fr-CH"/>
              </w:rPr>
              <w:drawing>
                <wp:inline distT="0" distB="0" distL="0" distR="0" wp14:anchorId="51B51063" wp14:editId="2A429071">
                  <wp:extent cx="3806456" cy="2413591"/>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cao-de-cana.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415838"/>
                          </a:xfrm>
                          <a:prstGeom prst="rect">
                            <a:avLst/>
                          </a:prstGeom>
                        </pic:spPr>
                      </pic:pic>
                    </a:graphicData>
                  </a:graphic>
                </wp:inline>
              </w:drawing>
            </w:r>
          </w:p>
        </w:tc>
      </w:tr>
      <w:tr w:rsidR="008D59CE" w:rsidRPr="003A118E" w:rsidTr="00975744">
        <w:trPr>
          <w:trHeight w:val="864"/>
          <w:jc w:val="center"/>
        </w:trPr>
        <w:tc>
          <w:tcPr>
            <w:tcW w:w="1450" w:type="pct"/>
            <w:tcBorders>
              <w:top w:val="nil"/>
              <w:left w:val="nil"/>
              <w:bottom w:val="nil"/>
            </w:tcBorders>
            <w:shd w:val="clear" w:color="auto" w:fill="DD8047" w:themeFill="accent2"/>
          </w:tcPr>
          <w:p w:rsidR="008D59CE" w:rsidRPr="003A118E" w:rsidRDefault="00975744" w:rsidP="00975744">
            <w:pPr>
              <w:pStyle w:val="NoSpacing"/>
              <w:jc w:val="center"/>
              <w:rPr>
                <w:color w:val="FFFFFF" w:themeColor="background1"/>
                <w:sz w:val="32"/>
                <w:szCs w:val="32"/>
              </w:rPr>
            </w:pPr>
            <w:sdt>
              <w:sdtPr>
                <w:rPr>
                  <w:color w:val="FFFFFF" w:themeColor="background1"/>
                  <w:sz w:val="32"/>
                  <w:szCs w:val="32"/>
                </w:rPr>
                <w:alias w:val="Date"/>
                <w:id w:val="541102334"/>
                <w:placeholder>
                  <w:docPart w:val="B00014C1E9994312AF95823E5BB73BA5"/>
                </w:placeholder>
                <w:dataBinding w:prefixMappings="xmlns:ns0='http://schemas.microsoft.com/office/2006/coverPageProps'" w:xpath="/ns0:CoverPageProperties[1]/ns0:PublishDate[1]" w:storeItemID="{55AF091B-3C7A-41E3-B477-F2FDAA23CFDA}"/>
                <w:date w:fullDate="2015-03-27T00:00:00Z">
                  <w:dateFormat w:val="M/d/yyyy"/>
                  <w:lid w:val="en-US"/>
                  <w:storeMappedDataAs w:val="dateTime"/>
                  <w:calendar w:val="gregorian"/>
                </w:date>
              </w:sdtPr>
              <w:sdtContent>
                <w:r w:rsidR="008D59CE">
                  <w:rPr>
                    <w:color w:val="FFFFFF" w:themeColor="background1"/>
                    <w:sz w:val="32"/>
                    <w:szCs w:val="32"/>
                  </w:rPr>
                  <w:t>3/27/2015</w:t>
                </w:r>
              </w:sdtContent>
            </w:sdt>
          </w:p>
        </w:tc>
        <w:tc>
          <w:tcPr>
            <w:tcW w:w="3550" w:type="pct"/>
            <w:tcBorders>
              <w:top w:val="nil"/>
              <w:bottom w:val="nil"/>
              <w:right w:val="nil"/>
            </w:tcBorders>
            <w:shd w:val="clear" w:color="auto" w:fill="94B6D2" w:themeFill="accent1"/>
            <w:tcMar>
              <w:left w:w="216" w:type="dxa"/>
            </w:tcMar>
          </w:tcPr>
          <w:p w:rsidR="008D59CE" w:rsidRPr="003A118E" w:rsidRDefault="00975744" w:rsidP="00975744">
            <w:pPr>
              <w:pStyle w:val="NoSpacing"/>
              <w:jc w:val="center"/>
              <w:rPr>
                <w:color w:val="FFFFFF" w:themeColor="background1"/>
                <w:sz w:val="40"/>
                <w:szCs w:val="40"/>
              </w:rPr>
            </w:pPr>
            <w:sdt>
              <w:sdtPr>
                <w:rPr>
                  <w:color w:val="FFFFFF" w:themeColor="background1"/>
                  <w:sz w:val="40"/>
                  <w:szCs w:val="40"/>
                </w:rPr>
                <w:alias w:val="Subtitle"/>
                <w:id w:val="541102329"/>
                <w:placeholder>
                  <w:docPart w:val="37655CAB3D9F4976B7D328874BB52A40"/>
                </w:placeholder>
                <w:dataBinding w:prefixMappings="xmlns:ns0='http://schemas.openxmlformats.org/package/2006/metadata/core-properties' xmlns:ns1='http://purl.org/dc/elements/1.1/'" w:xpath="/ns0:coreProperties[1]/ns1:subject[1]" w:storeItemID="{6C3C8BC8-F283-45AE-878A-BAB7291924A1}"/>
                <w:text/>
              </w:sdtPr>
              <w:sdtContent>
                <w:r w:rsidR="008D59CE" w:rsidRPr="00E5175D">
                  <w:rPr>
                    <w:color w:val="FFFFFF" w:themeColor="background1"/>
                    <w:sz w:val="40"/>
                    <w:szCs w:val="40"/>
                  </w:rPr>
                  <w:t>Integration of Biology and Engineering into an Economical and Energy-Efficient 2G Bioethanol Biorefinery</w:t>
                </w:r>
              </w:sdtContent>
            </w:sdt>
          </w:p>
        </w:tc>
      </w:tr>
      <w:tr w:rsidR="008D59CE" w:rsidRPr="003A118E" w:rsidTr="00975744">
        <w:trPr>
          <w:trHeight w:val="23"/>
          <w:jc w:val="center"/>
        </w:trPr>
        <w:tc>
          <w:tcPr>
            <w:tcW w:w="1450" w:type="pct"/>
            <w:tcBorders>
              <w:top w:val="nil"/>
              <w:left w:val="nil"/>
              <w:bottom w:val="nil"/>
              <w:right w:val="nil"/>
            </w:tcBorders>
            <w:shd w:val="clear" w:color="auto" w:fill="auto"/>
          </w:tcPr>
          <w:p w:rsidR="008D59CE" w:rsidRDefault="008D59CE" w:rsidP="00975744">
            <w:r>
              <w:t>In cooperation with:</w:t>
            </w:r>
          </w:p>
          <w:p w:rsidR="008D59CE" w:rsidRDefault="008D59CE" w:rsidP="00975744">
            <w:r>
              <w:rPr>
                <w:rFonts w:ascii="Swis721 LtCn BT" w:hAnsi="Swis721 LtCn BT"/>
                <w:noProof/>
                <w:sz w:val="20"/>
                <w:lang w:val="fr-CH" w:eastAsia="fr-CH"/>
              </w:rPr>
              <w:drawing>
                <wp:inline distT="0" distB="0" distL="0" distR="0" wp14:anchorId="56ABF6CC" wp14:editId="1E27CF58">
                  <wp:extent cx="1733550" cy="6326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4711"/>
                          <a:stretch/>
                        </pic:blipFill>
                        <pic:spPr bwMode="auto">
                          <a:xfrm>
                            <a:off x="0" y="0"/>
                            <a:ext cx="1732977" cy="632473"/>
                          </a:xfrm>
                          <a:prstGeom prst="rect">
                            <a:avLst/>
                          </a:prstGeom>
                          <a:noFill/>
                          <a:ln>
                            <a:noFill/>
                          </a:ln>
                          <a:extLst>
                            <a:ext uri="{53640926-AAD7-44D8-BBD7-CCE9431645EC}">
                              <a14:shadowObscured xmlns:a14="http://schemas.microsoft.com/office/drawing/2010/main"/>
                            </a:ext>
                          </a:extLst>
                        </pic:spPr>
                      </pic:pic>
                    </a:graphicData>
                  </a:graphic>
                </wp:inline>
              </w:drawing>
            </w:r>
          </w:p>
          <w:p w:rsidR="008D59CE" w:rsidRDefault="008D59CE" w:rsidP="00975744">
            <w:r>
              <w:rPr>
                <w:rFonts w:ascii="Swis721 LtCn BT" w:hAnsi="Swis721 LtCn BT"/>
                <w:noProof/>
                <w:sz w:val="20"/>
                <w:lang w:val="fr-CH" w:eastAsia="fr-CH"/>
              </w:rPr>
              <w:drawing>
                <wp:inline distT="0" distB="0" distL="0" distR="0" wp14:anchorId="784A37A2" wp14:editId="52454BCB">
                  <wp:extent cx="2028825" cy="6129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289"/>
                          <a:stretch/>
                        </pic:blipFill>
                        <pic:spPr bwMode="auto">
                          <a:xfrm>
                            <a:off x="0" y="0"/>
                            <a:ext cx="2028154" cy="612735"/>
                          </a:xfrm>
                          <a:prstGeom prst="rect">
                            <a:avLst/>
                          </a:prstGeom>
                          <a:noFill/>
                          <a:ln>
                            <a:noFill/>
                          </a:ln>
                          <a:extLst>
                            <a:ext uri="{53640926-AAD7-44D8-BBD7-CCE9431645EC}">
                              <a14:shadowObscured xmlns:a14="http://schemas.microsoft.com/office/drawing/2010/main"/>
                            </a:ext>
                          </a:extLst>
                        </pic:spPr>
                      </pic:pic>
                    </a:graphicData>
                  </a:graphic>
                </wp:inline>
              </w:drawing>
            </w:r>
          </w:p>
          <w:p w:rsidR="008D59CE" w:rsidRDefault="008D59CE" w:rsidP="00975744">
            <w:r w:rsidRPr="003A118E">
              <w:rPr>
                <w:noProof/>
                <w:sz w:val="36"/>
                <w:szCs w:val="36"/>
                <w:lang w:val="fr-CH" w:eastAsia="fr-CH"/>
              </w:rPr>
              <mc:AlternateContent>
                <mc:Choice Requires="wps">
                  <w:drawing>
                    <wp:anchor distT="0" distB="0" distL="114300" distR="114300" simplePos="0" relativeHeight="251675136" behindDoc="0" locked="0" layoutInCell="1" allowOverlap="1" wp14:anchorId="47799405" wp14:editId="1E306586">
                      <wp:simplePos x="0" y="0"/>
                      <wp:positionH relativeFrom="column">
                        <wp:posOffset>180975</wp:posOffset>
                      </wp:positionH>
                      <wp:positionV relativeFrom="paragraph">
                        <wp:posOffset>222250</wp:posOffset>
                      </wp:positionV>
                      <wp:extent cx="6257925" cy="1403985"/>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3985"/>
                              </a:xfrm>
                              <a:prstGeom prst="rect">
                                <a:avLst/>
                              </a:prstGeom>
                              <a:solidFill>
                                <a:srgbClr val="FFFFFF"/>
                              </a:solidFill>
                              <a:ln w="9525">
                                <a:noFill/>
                                <a:miter lim="800000"/>
                                <a:headEnd/>
                                <a:tailEnd/>
                              </a:ln>
                            </wps:spPr>
                            <wps:txbx>
                              <w:txbxContent>
                                <w:p w:rsidR="00975744" w:rsidRDefault="00975744" w:rsidP="008D59CE">
                                  <w:pPr>
                                    <w:pStyle w:val="FooterOdd"/>
                                    <w:jc w:val="left"/>
                                  </w:pPr>
                                  <w:r w:rsidRPr="00144428">
                                    <w:t xml:space="preserve">EPFL-ENAC-INTER-BPE </w:t>
                                  </w:r>
                                  <w:r>
                                    <w:t>–</w:t>
                                  </w:r>
                                  <w:r w:rsidRPr="00144428">
                                    <w:t xml:space="preserve"> Bât</w:t>
                                  </w:r>
                                  <w:r>
                                    <w:t>.</w:t>
                                  </w:r>
                                  <w:r w:rsidRPr="00144428">
                                    <w:t xml:space="preserve"> GC, St</w:t>
                                  </w:r>
                                  <w:r>
                                    <w:t>ation</w:t>
                                  </w:r>
                                  <w:r w:rsidRPr="00144428">
                                    <w:t xml:space="preserve"> 18 -</w:t>
                                  </w:r>
                                  <w:r>
                                    <w:t xml:space="preserve"> </w:t>
                                  </w:r>
                                  <w:r w:rsidRPr="00144428">
                                    <w:t>1015 - Lausanne. Switzerland - +41</w:t>
                                  </w:r>
                                  <w:r>
                                    <w:t xml:space="preserve"> </w:t>
                                  </w:r>
                                  <w:r w:rsidRPr="00144428">
                                    <w:t>21 693 06 27 - bpe.epfl.ch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99405" id="_x0000_s1027" type="#_x0000_t202" style="position:absolute;left:0;text-align:left;margin-left:14.25pt;margin-top:17.5pt;width:492.75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" stroked="f">
                      <v:textbox style="mso-fit-shape-to-text:t">
                        <w:txbxContent>
                          <w:p w:rsidR="00975744" w:rsidRDefault="00975744" w:rsidP="008D59CE">
                            <w:pPr>
                              <w:pStyle w:val="FooterOdd"/>
                              <w:jc w:val="left"/>
                            </w:pPr>
                            <w:r w:rsidRPr="00144428">
                              <w:t xml:space="preserve">EPFL-ENAC-INTER-BPE </w:t>
                            </w:r>
                            <w:r>
                              <w:t>–</w:t>
                            </w:r>
                            <w:r w:rsidRPr="00144428">
                              <w:t xml:space="preserve"> Bât</w:t>
                            </w:r>
                            <w:r>
                              <w:t>.</w:t>
                            </w:r>
                            <w:r w:rsidRPr="00144428">
                              <w:t xml:space="preserve"> GC, St</w:t>
                            </w:r>
                            <w:r>
                              <w:t>ation</w:t>
                            </w:r>
                            <w:r w:rsidRPr="00144428">
                              <w:t xml:space="preserve"> 18 -</w:t>
                            </w:r>
                            <w:r>
                              <w:t xml:space="preserve"> </w:t>
                            </w:r>
                            <w:r w:rsidRPr="00144428">
                              <w:t>1015 - Lausanne. Switzerland - +41</w:t>
                            </w:r>
                            <w:r>
                              <w:t xml:space="preserve"> </w:t>
                            </w:r>
                            <w:r w:rsidRPr="00144428">
                              <w:t>21 693 06 27 - bpe.epfl.ch</w:t>
                            </w:r>
                          </w:p>
                        </w:txbxContent>
                      </v:textbox>
                    </v:shape>
                  </w:pict>
                </mc:Fallback>
              </mc:AlternateContent>
            </w:r>
          </w:p>
          <w:p w:rsidR="008D59CE" w:rsidRPr="003A118E" w:rsidRDefault="008D59CE" w:rsidP="00975744">
            <w:pPr>
              <w:rPr>
                <w:color w:val="FFFFFF" w:themeColor="background1"/>
                <w:sz w:val="36"/>
                <w:szCs w:val="36"/>
              </w:rPr>
            </w:pPr>
          </w:p>
        </w:tc>
        <w:tc>
          <w:tcPr>
            <w:tcW w:w="3550" w:type="pct"/>
            <w:tcBorders>
              <w:top w:val="nil"/>
              <w:left w:val="nil"/>
              <w:bottom w:val="nil"/>
              <w:right w:val="nil"/>
            </w:tcBorders>
            <w:shd w:val="clear" w:color="auto" w:fill="auto"/>
            <w:tcMar>
              <w:top w:w="432" w:type="dxa"/>
              <w:left w:w="216" w:type="dxa"/>
              <w:right w:w="432" w:type="dxa"/>
            </w:tcMar>
          </w:tcPr>
          <w:p w:rsidR="008D59CE" w:rsidRPr="00CD0C8E" w:rsidRDefault="008D59CE" w:rsidP="00975744">
            <w:pPr>
              <w:spacing w:after="0"/>
              <w:rPr>
                <w:rFonts w:cs="Arial"/>
                <w:color w:val="595959"/>
              </w:rPr>
            </w:pPr>
            <w:r w:rsidRPr="00CD0C8E">
              <w:rPr>
                <w:rFonts w:asciiTheme="majorHAnsi" w:eastAsiaTheme="majorEastAsia" w:hAnsiTheme="majorHAnsi" w:cstheme="majorBidi"/>
                <w:b/>
              </w:rPr>
              <w:lastRenderedPageBreak/>
              <w:t xml:space="preserve">EU-Brazil Coordinated Activity plan:  </w:t>
            </w:r>
            <w:r w:rsidRPr="00CD0C8E">
              <w:rPr>
                <w:rFonts w:cs="Arial"/>
                <w:color w:val="595959"/>
              </w:rPr>
              <w:t>Collaborative Project.  ENERGY.2009.3.2.3: Second Generation Biofuels – EU-Brazil Coordinated Call</w:t>
            </w:r>
          </w:p>
          <w:p w:rsidR="008D59CE" w:rsidRPr="00CD0C8E" w:rsidRDefault="008D59CE" w:rsidP="00975744">
            <w:pPr>
              <w:spacing w:after="0"/>
              <w:rPr>
                <w:rFonts w:cs="Arial"/>
                <w:color w:val="595959"/>
              </w:rPr>
            </w:pPr>
          </w:p>
          <w:p w:rsidR="008D59CE" w:rsidRPr="00CD0C8E" w:rsidRDefault="008D59CE" w:rsidP="00975744">
            <w:pPr>
              <w:spacing w:after="0"/>
              <w:rPr>
                <w:rFonts w:cs="Arial"/>
                <w:color w:val="595959"/>
              </w:rPr>
            </w:pPr>
          </w:p>
          <w:p w:rsidR="008D59CE" w:rsidRPr="00CD0C8E" w:rsidRDefault="008D59CE" w:rsidP="00975744">
            <w:pPr>
              <w:pStyle w:val="NoSpacing"/>
              <w:spacing w:line="360" w:lineRule="auto"/>
              <w:rPr>
                <w:b/>
              </w:rPr>
            </w:pPr>
            <w:r w:rsidRPr="00CD0C8E">
              <w:rPr>
                <w:b/>
              </w:rPr>
              <w:t xml:space="preserve">WP6: </w:t>
            </w:r>
            <w:r w:rsidRPr="00CD0C8E">
              <w:t>Integrated assessment of natural resources value chains</w:t>
            </w:r>
          </w:p>
          <w:p w:rsidR="008D59CE" w:rsidRDefault="008D59CE" w:rsidP="00975744">
            <w:pPr>
              <w:pStyle w:val="NoSpacing"/>
              <w:spacing w:line="360" w:lineRule="auto"/>
            </w:pPr>
            <w:r>
              <w:rPr>
                <w:b/>
              </w:rPr>
              <w:t>Deliverable 6.300</w:t>
            </w:r>
            <w:r w:rsidRPr="00CD0C8E">
              <w:rPr>
                <w:b/>
              </w:rPr>
              <w:t xml:space="preserve"> </w:t>
            </w:r>
            <w:r>
              <w:t>“Integrated Assessment</w:t>
            </w:r>
            <w:r w:rsidRPr="00CD0C8E">
              <w:t>"</w:t>
            </w:r>
          </w:p>
          <w:p w:rsidR="008D59CE" w:rsidRDefault="008D59CE" w:rsidP="00975744">
            <w:pPr>
              <w:pStyle w:val="NoSpacing"/>
              <w:spacing w:line="360" w:lineRule="auto"/>
            </w:pPr>
            <w:r w:rsidRPr="00CD0C8E">
              <w:rPr>
                <w:b/>
              </w:rPr>
              <w:t>Deliverable 6.</w:t>
            </w:r>
            <w:r>
              <w:rPr>
                <w:b/>
              </w:rPr>
              <w:t>400</w:t>
            </w:r>
            <w:r w:rsidRPr="00CD0C8E">
              <w:rPr>
                <w:b/>
              </w:rPr>
              <w:t xml:space="preserve"> </w:t>
            </w:r>
            <w:r w:rsidRPr="00CD0C8E">
              <w:t>“</w:t>
            </w:r>
            <w:r>
              <w:t>case of 2G bioethanol and H&amp;P generation</w:t>
            </w:r>
            <w:r w:rsidRPr="00CD0C8E">
              <w:t xml:space="preserve"> "</w:t>
            </w:r>
            <w:r>
              <w:t xml:space="preserve"> </w:t>
            </w:r>
          </w:p>
          <w:p w:rsidR="008D59CE" w:rsidRPr="009A310C" w:rsidRDefault="008D59CE" w:rsidP="00975744">
            <w:pPr>
              <w:pStyle w:val="NoSpacing"/>
            </w:pPr>
            <w:r w:rsidRPr="009A310C">
              <w:rPr>
                <w:b/>
              </w:rPr>
              <w:t>Deliverable 6.</w:t>
            </w:r>
            <w:r>
              <w:rPr>
                <w:b/>
              </w:rPr>
              <w:t>500</w:t>
            </w:r>
            <w:r w:rsidRPr="009A310C">
              <w:rPr>
                <w:b/>
              </w:rPr>
              <w:t xml:space="preserve"> </w:t>
            </w:r>
            <w:r w:rsidRPr="009A310C">
              <w:t>“</w:t>
            </w:r>
            <w:r>
              <w:t>cases of lignin and C5 value chains</w:t>
            </w:r>
            <w:r w:rsidRPr="009A310C">
              <w:t xml:space="preserve"> " </w:t>
            </w:r>
          </w:p>
          <w:p w:rsidR="008D59CE" w:rsidRDefault="008D59CE" w:rsidP="00975744">
            <w:pPr>
              <w:pStyle w:val="NoSpacing"/>
              <w:spacing w:line="360" w:lineRule="auto"/>
            </w:pPr>
          </w:p>
          <w:p w:rsidR="008D59CE" w:rsidRDefault="008D59CE" w:rsidP="00975744">
            <w:pPr>
              <w:pStyle w:val="NoSpacing"/>
              <w:spacing w:line="360" w:lineRule="auto"/>
            </w:pPr>
          </w:p>
          <w:p w:rsidR="008D59CE" w:rsidRPr="003A118E" w:rsidRDefault="008D59CE" w:rsidP="00975744">
            <w:pPr>
              <w:pStyle w:val="NoSpacing"/>
              <w:spacing w:line="360" w:lineRule="auto"/>
              <w:rPr>
                <w:rFonts w:asciiTheme="majorHAnsi" w:eastAsiaTheme="majorEastAsia" w:hAnsiTheme="majorHAnsi" w:cstheme="majorBidi"/>
                <w:i/>
                <w:iCs/>
                <w:color w:val="775F55" w:themeColor="text2"/>
                <w:sz w:val="26"/>
                <w:szCs w:val="26"/>
              </w:rPr>
            </w:pPr>
          </w:p>
        </w:tc>
      </w:tr>
    </w:tbl>
    <w:p w:rsidR="00E72FED" w:rsidRPr="003A118E" w:rsidRDefault="00975744" w:rsidP="008D59CE">
      <w:pPr>
        <w:pStyle w:val="Title"/>
        <w:spacing w:line="360" w:lineRule="auto"/>
      </w:pPr>
      <w:sdt>
        <w:sdtPr>
          <w:alias w:val="Title"/>
          <w:id w:val="-1055697181"/>
          <w:placeholder>
            <w:docPart w:val="E055BB0DBDE3436581298D60549370A5"/>
          </w:placeholder>
          <w:dataBinding w:prefixMappings="xmlns:ns0='http://schemas.openxmlformats.org/package/2006/metadata/core-properties' xmlns:ns1='http://purl.org/dc/elements/1.1/'" w:xpath="/ns0:coreProperties[1]/ns1:title[1]" w:storeItemID="{6C3C8BC8-F283-45AE-878A-BAB7291924A1}"/>
          <w:text/>
        </w:sdtPr>
        <w:sdtContent>
          <w:r w:rsidR="00E72FED" w:rsidRPr="0088459F">
            <w:t>ProEthanol2g</w:t>
          </w:r>
        </w:sdtContent>
      </w:sdt>
    </w:p>
    <w:sdt>
      <w:sdtPr>
        <w:id w:val="219697527"/>
        <w:placeholder>
          <w:docPart w:val="693D11090C844AFF9F80496883C558C1"/>
        </w:placeholder>
        <w:dataBinding w:prefixMappings="xmlns:ns0='http://schemas.openxmlformats.org/package/2006/metadata/core-properties' xmlns:ns1='http://purl.org/dc/elements/1.1/'" w:xpath="/ns0:coreProperties[1]/ns1:subject[1]" w:storeItemID="{6C3C8BC8-F283-45AE-878A-BAB7291924A1}"/>
        <w:text/>
      </w:sdtPr>
      <w:sdtContent>
        <w:p w:rsidR="00E72FED" w:rsidRPr="003A118E" w:rsidRDefault="00E72FED" w:rsidP="00E72FED">
          <w:pPr>
            <w:pStyle w:val="Subtitle"/>
            <w:spacing w:line="360" w:lineRule="auto"/>
          </w:pPr>
          <w:r w:rsidRPr="00E5175D">
            <w:t>Integration of Biology and Engineering into an Economical and Energy-Efficient 2G Bioethanol Biorefinery</w:t>
          </w:r>
        </w:p>
      </w:sdtContent>
    </w:sdt>
    <w:sdt>
      <w:sdtPr>
        <w:rPr>
          <w:rFonts w:asciiTheme="minorHAnsi" w:eastAsiaTheme="minorHAnsi" w:hAnsiTheme="minorHAnsi" w:cs="Times New Roman"/>
          <w:b w:val="0"/>
          <w:bCs w:val="0"/>
          <w:caps w:val="0"/>
          <w:spacing w:val="0"/>
          <w:kern w:val="24"/>
          <w:sz w:val="23"/>
          <w:szCs w:val="20"/>
          <w14:ligatures w14:val="standardContextual"/>
        </w:rPr>
        <w:id w:val="1660504436"/>
        <w:docPartObj>
          <w:docPartGallery w:val="Table of Contents"/>
          <w:docPartUnique/>
        </w:docPartObj>
      </w:sdtPr>
      <w:sdtEndPr>
        <w:rPr>
          <w:rFonts w:eastAsiaTheme="minorEastAsia" w:cstheme="minorBidi"/>
          <w:noProof/>
          <w:kern w:val="0"/>
          <w:sz w:val="22"/>
          <w:szCs w:val="22"/>
          <w14:ligatures w14:val="none"/>
        </w:rPr>
      </w:sdtEndPr>
      <w:sdtContent>
        <w:p w:rsidR="00E72FED" w:rsidRDefault="00E72FED" w:rsidP="00E72FED">
          <w:pPr>
            <w:pStyle w:val="TOCHeading"/>
            <w:spacing w:line="360" w:lineRule="auto"/>
          </w:pPr>
          <w:r>
            <w:t>Contents</w:t>
          </w:r>
        </w:p>
        <w:p w:rsidR="00E60420" w:rsidRDefault="00E72FED">
          <w:pPr>
            <w:pStyle w:val="TOC1"/>
            <w:rPr>
              <w:b w:val="0"/>
              <w:caps w:val="0"/>
              <w:color w:val="auto"/>
              <w:lang w:val="fr-CH" w:eastAsia="fr-CH"/>
            </w:rPr>
          </w:pPr>
          <w:r>
            <w:fldChar w:fldCharType="begin"/>
          </w:r>
          <w:r>
            <w:instrText xml:space="preserve"> TOC \o "1-3" \h \z \u </w:instrText>
          </w:r>
          <w:r>
            <w:fldChar w:fldCharType="separate"/>
          </w:r>
          <w:hyperlink w:anchor="_Toc420667385" w:history="1">
            <w:r w:rsidR="00E60420" w:rsidRPr="002B7A07">
              <w:rPr>
                <w:rStyle w:val="Hyperlink"/>
              </w:rPr>
              <w:t>Summary</w:t>
            </w:r>
            <w:r w:rsidR="00E60420">
              <w:rPr>
                <w:webHidden/>
              </w:rPr>
              <w:tab/>
            </w:r>
            <w:r w:rsidR="00E60420">
              <w:rPr>
                <w:webHidden/>
              </w:rPr>
              <w:fldChar w:fldCharType="begin"/>
            </w:r>
            <w:r w:rsidR="00E60420">
              <w:rPr>
                <w:webHidden/>
              </w:rPr>
              <w:instrText xml:space="preserve"> PAGEREF _Toc420667385 \h </w:instrText>
            </w:r>
            <w:r w:rsidR="00E60420">
              <w:rPr>
                <w:webHidden/>
              </w:rPr>
            </w:r>
            <w:r w:rsidR="00E60420">
              <w:rPr>
                <w:webHidden/>
              </w:rPr>
              <w:fldChar w:fldCharType="separate"/>
            </w:r>
            <w:r w:rsidR="00E60420">
              <w:rPr>
                <w:webHidden/>
              </w:rPr>
              <w:t>3</w:t>
            </w:r>
            <w:r w:rsidR="00E60420">
              <w:rPr>
                <w:webHidden/>
              </w:rPr>
              <w:fldChar w:fldCharType="end"/>
            </w:r>
          </w:hyperlink>
        </w:p>
        <w:p w:rsidR="00E60420" w:rsidRDefault="00E60420">
          <w:pPr>
            <w:pStyle w:val="TOC1"/>
            <w:rPr>
              <w:b w:val="0"/>
              <w:caps w:val="0"/>
              <w:color w:val="auto"/>
              <w:lang w:val="fr-CH" w:eastAsia="fr-CH"/>
            </w:rPr>
          </w:pPr>
          <w:hyperlink w:anchor="_Toc420667386" w:history="1">
            <w:r w:rsidRPr="002B7A07">
              <w:rPr>
                <w:rStyle w:val="Hyperlink"/>
              </w:rPr>
              <w:t>integrated assessment methodology</w:t>
            </w:r>
            <w:r>
              <w:rPr>
                <w:webHidden/>
              </w:rPr>
              <w:tab/>
            </w:r>
            <w:r>
              <w:rPr>
                <w:webHidden/>
              </w:rPr>
              <w:fldChar w:fldCharType="begin"/>
            </w:r>
            <w:r>
              <w:rPr>
                <w:webHidden/>
              </w:rPr>
              <w:instrText xml:space="preserve"> PAGEREF _Toc420667386 \h </w:instrText>
            </w:r>
            <w:r>
              <w:rPr>
                <w:webHidden/>
              </w:rPr>
            </w:r>
            <w:r>
              <w:rPr>
                <w:webHidden/>
              </w:rPr>
              <w:fldChar w:fldCharType="separate"/>
            </w:r>
            <w:r>
              <w:rPr>
                <w:webHidden/>
              </w:rPr>
              <w:t>3</w:t>
            </w:r>
            <w:r>
              <w:rPr>
                <w:webHidden/>
              </w:rPr>
              <w:fldChar w:fldCharType="end"/>
            </w:r>
          </w:hyperlink>
        </w:p>
        <w:p w:rsidR="00E60420" w:rsidRDefault="00E60420">
          <w:pPr>
            <w:pStyle w:val="TOC2"/>
            <w:rPr>
              <w:lang w:val="fr-CH" w:eastAsia="fr-CH"/>
            </w:rPr>
          </w:pPr>
          <w:hyperlink w:anchor="_Toc420667387" w:history="1">
            <w:r w:rsidRPr="002B7A07">
              <w:rPr>
                <w:rStyle w:val="Hyperlink"/>
              </w:rPr>
              <w:t>Process description, Energy and Materials balances</w:t>
            </w:r>
            <w:r>
              <w:rPr>
                <w:webHidden/>
              </w:rPr>
              <w:tab/>
            </w:r>
            <w:r>
              <w:rPr>
                <w:webHidden/>
              </w:rPr>
              <w:fldChar w:fldCharType="begin"/>
            </w:r>
            <w:r>
              <w:rPr>
                <w:webHidden/>
              </w:rPr>
              <w:instrText xml:space="preserve"> PAGEREF _Toc420667387 \h </w:instrText>
            </w:r>
            <w:r>
              <w:rPr>
                <w:webHidden/>
              </w:rPr>
            </w:r>
            <w:r>
              <w:rPr>
                <w:webHidden/>
              </w:rPr>
              <w:fldChar w:fldCharType="separate"/>
            </w:r>
            <w:r>
              <w:rPr>
                <w:webHidden/>
              </w:rPr>
              <w:t>3</w:t>
            </w:r>
            <w:r>
              <w:rPr>
                <w:webHidden/>
              </w:rPr>
              <w:fldChar w:fldCharType="end"/>
            </w:r>
          </w:hyperlink>
        </w:p>
        <w:p w:rsidR="00E60420" w:rsidRDefault="00E60420">
          <w:pPr>
            <w:pStyle w:val="TOC2"/>
            <w:rPr>
              <w:lang w:val="fr-CH" w:eastAsia="fr-CH"/>
            </w:rPr>
          </w:pPr>
          <w:hyperlink w:anchor="_Toc420667388" w:history="1">
            <w:r w:rsidRPr="002B7A07">
              <w:rPr>
                <w:rStyle w:val="Hyperlink"/>
              </w:rPr>
              <w:t>Value-based techno-economic assessment</w:t>
            </w:r>
            <w:r>
              <w:rPr>
                <w:webHidden/>
              </w:rPr>
              <w:tab/>
            </w:r>
            <w:r>
              <w:rPr>
                <w:webHidden/>
              </w:rPr>
              <w:fldChar w:fldCharType="begin"/>
            </w:r>
            <w:r>
              <w:rPr>
                <w:webHidden/>
              </w:rPr>
              <w:instrText xml:space="preserve"> PAGEREF _Toc420667388 \h </w:instrText>
            </w:r>
            <w:r>
              <w:rPr>
                <w:webHidden/>
              </w:rPr>
            </w:r>
            <w:r>
              <w:rPr>
                <w:webHidden/>
              </w:rPr>
              <w:fldChar w:fldCharType="separate"/>
            </w:r>
            <w:r>
              <w:rPr>
                <w:webHidden/>
              </w:rPr>
              <w:t>4</w:t>
            </w:r>
            <w:r>
              <w:rPr>
                <w:webHidden/>
              </w:rPr>
              <w:fldChar w:fldCharType="end"/>
            </w:r>
          </w:hyperlink>
        </w:p>
        <w:p w:rsidR="00E60420" w:rsidRDefault="00E60420">
          <w:pPr>
            <w:pStyle w:val="TOC2"/>
            <w:rPr>
              <w:lang w:val="fr-CH" w:eastAsia="fr-CH"/>
            </w:rPr>
          </w:pPr>
          <w:hyperlink w:anchor="_Toc420667389" w:history="1">
            <w:r w:rsidRPr="002B7A07">
              <w:rPr>
                <w:rStyle w:val="Hyperlink"/>
              </w:rPr>
              <w:t>Value-based LCA</w:t>
            </w:r>
            <w:r>
              <w:rPr>
                <w:webHidden/>
              </w:rPr>
              <w:tab/>
            </w:r>
            <w:r>
              <w:rPr>
                <w:webHidden/>
              </w:rPr>
              <w:fldChar w:fldCharType="begin"/>
            </w:r>
            <w:r>
              <w:rPr>
                <w:webHidden/>
              </w:rPr>
              <w:instrText xml:space="preserve"> PAGEREF _Toc420667389 \h </w:instrText>
            </w:r>
            <w:r>
              <w:rPr>
                <w:webHidden/>
              </w:rPr>
            </w:r>
            <w:r>
              <w:rPr>
                <w:webHidden/>
              </w:rPr>
              <w:fldChar w:fldCharType="separate"/>
            </w:r>
            <w:r>
              <w:rPr>
                <w:webHidden/>
              </w:rPr>
              <w:t>4</w:t>
            </w:r>
            <w:r>
              <w:rPr>
                <w:webHidden/>
              </w:rPr>
              <w:fldChar w:fldCharType="end"/>
            </w:r>
          </w:hyperlink>
        </w:p>
        <w:p w:rsidR="00E60420" w:rsidRDefault="00E60420">
          <w:pPr>
            <w:pStyle w:val="TOC2"/>
            <w:rPr>
              <w:lang w:val="fr-CH" w:eastAsia="fr-CH"/>
            </w:rPr>
          </w:pPr>
          <w:hyperlink w:anchor="_Toc420667390" w:history="1">
            <w:r w:rsidRPr="002B7A07">
              <w:rPr>
                <w:rStyle w:val="Hyperlink"/>
              </w:rPr>
              <w:t>Multi-criteria comparative assessment</w:t>
            </w:r>
            <w:r>
              <w:rPr>
                <w:webHidden/>
              </w:rPr>
              <w:tab/>
            </w:r>
            <w:r>
              <w:rPr>
                <w:webHidden/>
              </w:rPr>
              <w:fldChar w:fldCharType="begin"/>
            </w:r>
            <w:r>
              <w:rPr>
                <w:webHidden/>
              </w:rPr>
              <w:instrText xml:space="preserve"> PAGEREF _Toc420667390 \h </w:instrText>
            </w:r>
            <w:r>
              <w:rPr>
                <w:webHidden/>
              </w:rPr>
            </w:r>
            <w:r>
              <w:rPr>
                <w:webHidden/>
              </w:rPr>
              <w:fldChar w:fldCharType="separate"/>
            </w:r>
            <w:r>
              <w:rPr>
                <w:webHidden/>
              </w:rPr>
              <w:t>4</w:t>
            </w:r>
            <w:r>
              <w:rPr>
                <w:webHidden/>
              </w:rPr>
              <w:fldChar w:fldCharType="end"/>
            </w:r>
          </w:hyperlink>
        </w:p>
        <w:p w:rsidR="00E60420" w:rsidRDefault="00E60420">
          <w:pPr>
            <w:pStyle w:val="TOC1"/>
            <w:rPr>
              <w:b w:val="0"/>
              <w:caps w:val="0"/>
              <w:color w:val="auto"/>
              <w:lang w:val="fr-CH" w:eastAsia="fr-CH"/>
            </w:rPr>
          </w:pPr>
          <w:hyperlink w:anchor="_Toc420667391" w:history="1">
            <w:r w:rsidRPr="002B7A07">
              <w:rPr>
                <w:rStyle w:val="Hyperlink"/>
              </w:rPr>
              <w:t>2G ethanol and Heat &amp; Power Generation</w:t>
            </w:r>
            <w:r>
              <w:rPr>
                <w:webHidden/>
              </w:rPr>
              <w:tab/>
            </w:r>
            <w:r>
              <w:rPr>
                <w:webHidden/>
              </w:rPr>
              <w:fldChar w:fldCharType="begin"/>
            </w:r>
            <w:r>
              <w:rPr>
                <w:webHidden/>
              </w:rPr>
              <w:instrText xml:space="preserve"> PAGEREF _Toc420667391 \h </w:instrText>
            </w:r>
            <w:r>
              <w:rPr>
                <w:webHidden/>
              </w:rPr>
            </w:r>
            <w:r>
              <w:rPr>
                <w:webHidden/>
              </w:rPr>
              <w:fldChar w:fldCharType="separate"/>
            </w:r>
            <w:r>
              <w:rPr>
                <w:webHidden/>
              </w:rPr>
              <w:t>4</w:t>
            </w:r>
            <w:r>
              <w:rPr>
                <w:webHidden/>
              </w:rPr>
              <w:fldChar w:fldCharType="end"/>
            </w:r>
          </w:hyperlink>
        </w:p>
        <w:p w:rsidR="00E60420" w:rsidRDefault="00E60420">
          <w:pPr>
            <w:pStyle w:val="TOC2"/>
            <w:rPr>
              <w:lang w:val="fr-CH" w:eastAsia="fr-CH"/>
            </w:rPr>
          </w:pPr>
          <w:hyperlink w:anchor="_Toc420667392" w:history="1">
            <w:r w:rsidRPr="002B7A07">
              <w:rPr>
                <w:rStyle w:val="Hyperlink"/>
              </w:rPr>
              <w:t>Fuelling the biorefinery with a renewable energy source</w:t>
            </w:r>
            <w:r>
              <w:rPr>
                <w:webHidden/>
              </w:rPr>
              <w:tab/>
            </w:r>
            <w:r>
              <w:rPr>
                <w:webHidden/>
              </w:rPr>
              <w:fldChar w:fldCharType="begin"/>
            </w:r>
            <w:r>
              <w:rPr>
                <w:webHidden/>
              </w:rPr>
              <w:instrText xml:space="preserve"> PAGEREF _Toc420667392 \h </w:instrText>
            </w:r>
            <w:r>
              <w:rPr>
                <w:webHidden/>
              </w:rPr>
            </w:r>
            <w:r>
              <w:rPr>
                <w:webHidden/>
              </w:rPr>
              <w:fldChar w:fldCharType="separate"/>
            </w:r>
            <w:r>
              <w:rPr>
                <w:webHidden/>
              </w:rPr>
              <w:t>4</w:t>
            </w:r>
            <w:r>
              <w:rPr>
                <w:webHidden/>
              </w:rPr>
              <w:fldChar w:fldCharType="end"/>
            </w:r>
          </w:hyperlink>
        </w:p>
        <w:p w:rsidR="00E60420" w:rsidRDefault="00E60420">
          <w:pPr>
            <w:pStyle w:val="TOC1"/>
            <w:rPr>
              <w:b w:val="0"/>
              <w:caps w:val="0"/>
              <w:color w:val="auto"/>
              <w:lang w:val="fr-CH" w:eastAsia="fr-CH"/>
            </w:rPr>
          </w:pPr>
          <w:hyperlink w:anchor="_Toc420667393" w:history="1">
            <w:r w:rsidRPr="002B7A07">
              <w:rPr>
                <w:rStyle w:val="Hyperlink"/>
              </w:rPr>
              <w:t>Lignin value chains</w:t>
            </w:r>
            <w:r>
              <w:rPr>
                <w:webHidden/>
              </w:rPr>
              <w:tab/>
            </w:r>
            <w:r>
              <w:rPr>
                <w:webHidden/>
              </w:rPr>
              <w:fldChar w:fldCharType="begin"/>
            </w:r>
            <w:r>
              <w:rPr>
                <w:webHidden/>
              </w:rPr>
              <w:instrText xml:space="preserve"> PAGEREF _Toc420667393 \h </w:instrText>
            </w:r>
            <w:r>
              <w:rPr>
                <w:webHidden/>
              </w:rPr>
            </w:r>
            <w:r>
              <w:rPr>
                <w:webHidden/>
              </w:rPr>
              <w:fldChar w:fldCharType="separate"/>
            </w:r>
            <w:r>
              <w:rPr>
                <w:webHidden/>
              </w:rPr>
              <w:t>5</w:t>
            </w:r>
            <w:r>
              <w:rPr>
                <w:webHidden/>
              </w:rPr>
              <w:fldChar w:fldCharType="end"/>
            </w:r>
          </w:hyperlink>
        </w:p>
        <w:p w:rsidR="00E60420" w:rsidRDefault="00E60420">
          <w:pPr>
            <w:pStyle w:val="TOC2"/>
            <w:rPr>
              <w:lang w:val="fr-CH" w:eastAsia="fr-CH"/>
            </w:rPr>
          </w:pPr>
          <w:hyperlink w:anchor="_Toc420667394" w:history="1">
            <w:r w:rsidRPr="002B7A07">
              <w:rPr>
                <w:rStyle w:val="Hyperlink"/>
              </w:rPr>
              <w:t>Conversion into carbon fibres and other materials</w:t>
            </w:r>
            <w:r>
              <w:rPr>
                <w:webHidden/>
              </w:rPr>
              <w:tab/>
            </w:r>
            <w:r>
              <w:rPr>
                <w:webHidden/>
              </w:rPr>
              <w:fldChar w:fldCharType="begin"/>
            </w:r>
            <w:r>
              <w:rPr>
                <w:webHidden/>
              </w:rPr>
              <w:instrText xml:space="preserve"> PAGEREF _Toc420667394 \h </w:instrText>
            </w:r>
            <w:r>
              <w:rPr>
                <w:webHidden/>
              </w:rPr>
            </w:r>
            <w:r>
              <w:rPr>
                <w:webHidden/>
              </w:rPr>
              <w:fldChar w:fldCharType="separate"/>
            </w:r>
            <w:r>
              <w:rPr>
                <w:webHidden/>
              </w:rPr>
              <w:t>5</w:t>
            </w:r>
            <w:r>
              <w:rPr>
                <w:webHidden/>
              </w:rPr>
              <w:fldChar w:fldCharType="end"/>
            </w:r>
          </w:hyperlink>
        </w:p>
        <w:p w:rsidR="00E60420" w:rsidRDefault="00E60420">
          <w:pPr>
            <w:pStyle w:val="TOC2"/>
            <w:rPr>
              <w:lang w:val="fr-CH" w:eastAsia="fr-CH"/>
            </w:rPr>
          </w:pPr>
          <w:hyperlink w:anchor="_Toc420667395" w:history="1">
            <w:r w:rsidRPr="002B7A07">
              <w:rPr>
                <w:rStyle w:val="Hyperlink"/>
              </w:rPr>
              <w:t>Lignin as a feedstock of co-generation of heat and Power</w:t>
            </w:r>
            <w:r>
              <w:rPr>
                <w:webHidden/>
              </w:rPr>
              <w:tab/>
            </w:r>
            <w:r>
              <w:rPr>
                <w:webHidden/>
              </w:rPr>
              <w:fldChar w:fldCharType="begin"/>
            </w:r>
            <w:r>
              <w:rPr>
                <w:webHidden/>
              </w:rPr>
              <w:instrText xml:space="preserve"> PAGEREF _Toc420667395 \h </w:instrText>
            </w:r>
            <w:r>
              <w:rPr>
                <w:webHidden/>
              </w:rPr>
            </w:r>
            <w:r>
              <w:rPr>
                <w:webHidden/>
              </w:rPr>
              <w:fldChar w:fldCharType="separate"/>
            </w:r>
            <w:r>
              <w:rPr>
                <w:webHidden/>
              </w:rPr>
              <w:t>5</w:t>
            </w:r>
            <w:r>
              <w:rPr>
                <w:webHidden/>
              </w:rPr>
              <w:fldChar w:fldCharType="end"/>
            </w:r>
          </w:hyperlink>
        </w:p>
        <w:p w:rsidR="00E60420" w:rsidRDefault="00E60420">
          <w:pPr>
            <w:pStyle w:val="TOC1"/>
            <w:rPr>
              <w:b w:val="0"/>
              <w:caps w:val="0"/>
              <w:color w:val="auto"/>
              <w:lang w:val="fr-CH" w:eastAsia="fr-CH"/>
            </w:rPr>
          </w:pPr>
          <w:hyperlink w:anchor="_Toc420667396" w:history="1">
            <w:r w:rsidRPr="002B7A07">
              <w:rPr>
                <w:rStyle w:val="Hyperlink"/>
              </w:rPr>
              <w:t>C5 Value chains</w:t>
            </w:r>
            <w:r>
              <w:rPr>
                <w:webHidden/>
              </w:rPr>
              <w:tab/>
            </w:r>
            <w:r>
              <w:rPr>
                <w:webHidden/>
              </w:rPr>
              <w:fldChar w:fldCharType="begin"/>
            </w:r>
            <w:r>
              <w:rPr>
                <w:webHidden/>
              </w:rPr>
              <w:instrText xml:space="preserve"> PAGEREF _Toc420667396 \h </w:instrText>
            </w:r>
            <w:r>
              <w:rPr>
                <w:webHidden/>
              </w:rPr>
            </w:r>
            <w:r>
              <w:rPr>
                <w:webHidden/>
              </w:rPr>
              <w:fldChar w:fldCharType="separate"/>
            </w:r>
            <w:r>
              <w:rPr>
                <w:webHidden/>
              </w:rPr>
              <w:t>6</w:t>
            </w:r>
            <w:r>
              <w:rPr>
                <w:webHidden/>
              </w:rPr>
              <w:fldChar w:fldCharType="end"/>
            </w:r>
          </w:hyperlink>
        </w:p>
        <w:p w:rsidR="00E60420" w:rsidRDefault="00E60420">
          <w:pPr>
            <w:pStyle w:val="TOC2"/>
            <w:rPr>
              <w:lang w:val="fr-CH" w:eastAsia="fr-CH"/>
            </w:rPr>
          </w:pPr>
          <w:hyperlink w:anchor="_Toc420667397" w:history="1">
            <w:r w:rsidRPr="002B7A07">
              <w:rPr>
                <w:rStyle w:val="Hyperlink"/>
              </w:rPr>
              <w:t>Valorization as animal feed</w:t>
            </w:r>
            <w:r>
              <w:rPr>
                <w:webHidden/>
              </w:rPr>
              <w:tab/>
            </w:r>
            <w:r>
              <w:rPr>
                <w:webHidden/>
              </w:rPr>
              <w:fldChar w:fldCharType="begin"/>
            </w:r>
            <w:r>
              <w:rPr>
                <w:webHidden/>
              </w:rPr>
              <w:instrText xml:space="preserve"> PAGEREF _Toc420667397 \h </w:instrText>
            </w:r>
            <w:r>
              <w:rPr>
                <w:webHidden/>
              </w:rPr>
            </w:r>
            <w:r>
              <w:rPr>
                <w:webHidden/>
              </w:rPr>
              <w:fldChar w:fldCharType="separate"/>
            </w:r>
            <w:r>
              <w:rPr>
                <w:webHidden/>
              </w:rPr>
              <w:t>6</w:t>
            </w:r>
            <w:r>
              <w:rPr>
                <w:webHidden/>
              </w:rPr>
              <w:fldChar w:fldCharType="end"/>
            </w:r>
          </w:hyperlink>
        </w:p>
        <w:p w:rsidR="00E60420" w:rsidRDefault="00E60420">
          <w:pPr>
            <w:pStyle w:val="TOC1"/>
            <w:rPr>
              <w:b w:val="0"/>
              <w:caps w:val="0"/>
              <w:color w:val="auto"/>
              <w:lang w:val="fr-CH" w:eastAsia="fr-CH"/>
            </w:rPr>
          </w:pPr>
          <w:hyperlink w:anchor="_Toc420667398" w:history="1">
            <w:r w:rsidRPr="002B7A07">
              <w:rPr>
                <w:rStyle w:val="Hyperlink"/>
              </w:rPr>
              <w:t>Study of integrated schemes</w:t>
            </w:r>
            <w:r>
              <w:rPr>
                <w:webHidden/>
              </w:rPr>
              <w:tab/>
            </w:r>
            <w:r>
              <w:rPr>
                <w:webHidden/>
              </w:rPr>
              <w:fldChar w:fldCharType="begin"/>
            </w:r>
            <w:r>
              <w:rPr>
                <w:webHidden/>
              </w:rPr>
              <w:instrText xml:space="preserve"> PAGEREF _Toc420667398 \h </w:instrText>
            </w:r>
            <w:r>
              <w:rPr>
                <w:webHidden/>
              </w:rPr>
            </w:r>
            <w:r>
              <w:rPr>
                <w:webHidden/>
              </w:rPr>
              <w:fldChar w:fldCharType="separate"/>
            </w:r>
            <w:r>
              <w:rPr>
                <w:webHidden/>
              </w:rPr>
              <w:t>6</w:t>
            </w:r>
            <w:r>
              <w:rPr>
                <w:webHidden/>
              </w:rPr>
              <w:fldChar w:fldCharType="end"/>
            </w:r>
          </w:hyperlink>
        </w:p>
        <w:p w:rsidR="00E60420" w:rsidRDefault="00E60420">
          <w:pPr>
            <w:pStyle w:val="TOC2"/>
            <w:rPr>
              <w:lang w:val="fr-CH" w:eastAsia="fr-CH"/>
            </w:rPr>
          </w:pPr>
          <w:hyperlink w:anchor="_Toc420667399" w:history="1">
            <w:r w:rsidRPr="002B7A07">
              <w:rPr>
                <w:rStyle w:val="Hyperlink"/>
              </w:rPr>
              <w:t>Description of the scenarios of integrated schemes</w:t>
            </w:r>
            <w:r>
              <w:rPr>
                <w:webHidden/>
              </w:rPr>
              <w:tab/>
            </w:r>
            <w:r>
              <w:rPr>
                <w:webHidden/>
              </w:rPr>
              <w:fldChar w:fldCharType="begin"/>
            </w:r>
            <w:r>
              <w:rPr>
                <w:webHidden/>
              </w:rPr>
              <w:instrText xml:space="preserve"> PAGEREF _Toc420667399 \h </w:instrText>
            </w:r>
            <w:r>
              <w:rPr>
                <w:webHidden/>
              </w:rPr>
            </w:r>
            <w:r>
              <w:rPr>
                <w:webHidden/>
              </w:rPr>
              <w:fldChar w:fldCharType="separate"/>
            </w:r>
            <w:r>
              <w:rPr>
                <w:webHidden/>
              </w:rPr>
              <w:t>6</w:t>
            </w:r>
            <w:r>
              <w:rPr>
                <w:webHidden/>
              </w:rPr>
              <w:fldChar w:fldCharType="end"/>
            </w:r>
          </w:hyperlink>
        </w:p>
        <w:p w:rsidR="00E60420" w:rsidRDefault="00E60420">
          <w:pPr>
            <w:pStyle w:val="TOC2"/>
            <w:rPr>
              <w:lang w:val="fr-CH" w:eastAsia="fr-CH"/>
            </w:rPr>
          </w:pPr>
          <w:hyperlink w:anchor="_Toc420667400" w:history="1">
            <w:r w:rsidRPr="002B7A07">
              <w:rPr>
                <w:rStyle w:val="Hyperlink"/>
              </w:rPr>
              <w:t>Selected Results</w:t>
            </w:r>
            <w:r>
              <w:rPr>
                <w:webHidden/>
              </w:rPr>
              <w:tab/>
            </w:r>
            <w:r>
              <w:rPr>
                <w:webHidden/>
              </w:rPr>
              <w:fldChar w:fldCharType="begin"/>
            </w:r>
            <w:r>
              <w:rPr>
                <w:webHidden/>
              </w:rPr>
              <w:instrText xml:space="preserve"> PAGEREF _Toc420667400 \h </w:instrText>
            </w:r>
            <w:r>
              <w:rPr>
                <w:webHidden/>
              </w:rPr>
            </w:r>
            <w:r>
              <w:rPr>
                <w:webHidden/>
              </w:rPr>
              <w:fldChar w:fldCharType="separate"/>
            </w:r>
            <w:r>
              <w:rPr>
                <w:webHidden/>
              </w:rPr>
              <w:t>9</w:t>
            </w:r>
            <w:r>
              <w:rPr>
                <w:webHidden/>
              </w:rPr>
              <w:fldChar w:fldCharType="end"/>
            </w:r>
          </w:hyperlink>
        </w:p>
        <w:p w:rsidR="00E60420" w:rsidRDefault="00E60420">
          <w:pPr>
            <w:pStyle w:val="TOC3"/>
            <w:rPr>
              <w:lang w:val="fr-CH" w:eastAsia="fr-CH"/>
            </w:rPr>
          </w:pPr>
          <w:hyperlink w:anchor="_Toc420667401" w:history="1">
            <w:r w:rsidRPr="002B7A07">
              <w:rPr>
                <w:rStyle w:val="Hyperlink"/>
              </w:rPr>
              <w:t>Life cycle assessment (LCA) of sugarcane integrated biorefinery</w:t>
            </w:r>
            <w:r>
              <w:rPr>
                <w:webHidden/>
              </w:rPr>
              <w:tab/>
            </w:r>
            <w:r>
              <w:rPr>
                <w:webHidden/>
              </w:rPr>
              <w:fldChar w:fldCharType="begin"/>
            </w:r>
            <w:r>
              <w:rPr>
                <w:webHidden/>
              </w:rPr>
              <w:instrText xml:space="preserve"> PAGEREF _Toc420667401 \h </w:instrText>
            </w:r>
            <w:r>
              <w:rPr>
                <w:webHidden/>
              </w:rPr>
            </w:r>
            <w:r>
              <w:rPr>
                <w:webHidden/>
              </w:rPr>
              <w:fldChar w:fldCharType="separate"/>
            </w:r>
            <w:r>
              <w:rPr>
                <w:webHidden/>
              </w:rPr>
              <w:t>13</w:t>
            </w:r>
            <w:r>
              <w:rPr>
                <w:webHidden/>
              </w:rPr>
              <w:fldChar w:fldCharType="end"/>
            </w:r>
          </w:hyperlink>
        </w:p>
        <w:p w:rsidR="00E60420" w:rsidRDefault="00E60420">
          <w:pPr>
            <w:pStyle w:val="TOC1"/>
            <w:rPr>
              <w:b w:val="0"/>
              <w:caps w:val="0"/>
              <w:color w:val="auto"/>
              <w:lang w:val="fr-CH" w:eastAsia="fr-CH"/>
            </w:rPr>
          </w:pPr>
          <w:hyperlink w:anchor="_Toc420667402" w:history="1">
            <w:r w:rsidRPr="002B7A07">
              <w:rPr>
                <w:rStyle w:val="Hyperlink"/>
              </w:rPr>
              <w:t>Main findings and Conclusion</w:t>
            </w:r>
            <w:r>
              <w:rPr>
                <w:webHidden/>
              </w:rPr>
              <w:tab/>
            </w:r>
            <w:r>
              <w:rPr>
                <w:webHidden/>
              </w:rPr>
              <w:fldChar w:fldCharType="begin"/>
            </w:r>
            <w:r>
              <w:rPr>
                <w:webHidden/>
              </w:rPr>
              <w:instrText xml:space="preserve"> PAGEREF _Toc420667402 \h </w:instrText>
            </w:r>
            <w:r>
              <w:rPr>
                <w:webHidden/>
              </w:rPr>
            </w:r>
            <w:r>
              <w:rPr>
                <w:webHidden/>
              </w:rPr>
              <w:fldChar w:fldCharType="separate"/>
            </w:r>
            <w:r>
              <w:rPr>
                <w:webHidden/>
              </w:rPr>
              <w:t>19</w:t>
            </w:r>
            <w:r>
              <w:rPr>
                <w:webHidden/>
              </w:rPr>
              <w:fldChar w:fldCharType="end"/>
            </w:r>
          </w:hyperlink>
        </w:p>
        <w:p w:rsidR="00E60420" w:rsidRDefault="00E60420">
          <w:pPr>
            <w:pStyle w:val="TOC1"/>
            <w:rPr>
              <w:b w:val="0"/>
              <w:caps w:val="0"/>
              <w:color w:val="auto"/>
              <w:lang w:val="fr-CH" w:eastAsia="fr-CH"/>
            </w:rPr>
          </w:pPr>
          <w:hyperlink w:anchor="_Toc420667403" w:history="1">
            <w:r w:rsidRPr="002B7A07">
              <w:rPr>
                <w:rStyle w:val="Hyperlink"/>
              </w:rPr>
              <w:t>References</w:t>
            </w:r>
            <w:r>
              <w:rPr>
                <w:webHidden/>
              </w:rPr>
              <w:tab/>
            </w:r>
            <w:r>
              <w:rPr>
                <w:webHidden/>
              </w:rPr>
              <w:fldChar w:fldCharType="begin"/>
            </w:r>
            <w:r>
              <w:rPr>
                <w:webHidden/>
              </w:rPr>
              <w:instrText xml:space="preserve"> PAGEREF _Toc420667403 \h </w:instrText>
            </w:r>
            <w:r>
              <w:rPr>
                <w:webHidden/>
              </w:rPr>
            </w:r>
            <w:r>
              <w:rPr>
                <w:webHidden/>
              </w:rPr>
              <w:fldChar w:fldCharType="separate"/>
            </w:r>
            <w:r>
              <w:rPr>
                <w:webHidden/>
              </w:rPr>
              <w:t>20</w:t>
            </w:r>
            <w:r>
              <w:rPr>
                <w:webHidden/>
              </w:rPr>
              <w:fldChar w:fldCharType="end"/>
            </w:r>
          </w:hyperlink>
        </w:p>
        <w:p w:rsidR="00E72FED" w:rsidRDefault="00E72FED" w:rsidP="00E72FED">
          <w:pPr>
            <w:spacing w:line="360" w:lineRule="auto"/>
          </w:pPr>
          <w:r>
            <w:rPr>
              <w:b/>
              <w:bCs/>
              <w:noProof/>
            </w:rPr>
            <w:fldChar w:fldCharType="end"/>
          </w:r>
        </w:p>
      </w:sdtContent>
    </w:sdt>
    <w:p w:rsidR="008512D3" w:rsidRDefault="008512D3" w:rsidP="00E72FED">
      <w:pPr>
        <w:pStyle w:val="Heading1"/>
        <w:spacing w:line="360" w:lineRule="auto"/>
      </w:pPr>
      <w:bookmarkStart w:id="0" w:name="_GoBack"/>
      <w:bookmarkEnd w:id="0"/>
    </w:p>
    <w:p w:rsidR="008512D3" w:rsidRDefault="008512D3" w:rsidP="008512D3"/>
    <w:p w:rsidR="008512D3" w:rsidRDefault="008512D3" w:rsidP="008512D3"/>
    <w:p w:rsidR="008512D3" w:rsidRDefault="008512D3" w:rsidP="008512D3"/>
    <w:p w:rsidR="008512D3" w:rsidRDefault="008512D3" w:rsidP="008512D3"/>
    <w:p w:rsidR="00E72FED" w:rsidRPr="003A118E" w:rsidRDefault="00E72FED" w:rsidP="00E72FED">
      <w:pPr>
        <w:pStyle w:val="Heading1"/>
        <w:spacing w:line="360" w:lineRule="auto"/>
      </w:pPr>
      <w:bookmarkStart w:id="1" w:name="_Toc420667385"/>
      <w:r w:rsidRPr="003A118E">
        <w:lastRenderedPageBreak/>
        <w:t>Summary</w:t>
      </w:r>
      <w:bookmarkEnd w:id="1"/>
    </w:p>
    <w:p w:rsidR="00E72FED" w:rsidRPr="00924C4E" w:rsidRDefault="00E72FED" w:rsidP="00E72FED">
      <w:pPr>
        <w:spacing w:line="360" w:lineRule="auto"/>
      </w:pPr>
      <w:r w:rsidRPr="00924C4E">
        <w:t>This report corresponds to Deliverable 6.300 (Integrated assessment methodology), D6.400 (Case study on 2G bioethanol and Heat &amp; Power generation), D6.500 (Case study of lignin and C5 value chains) of WP6 (Integrated assessment of natural resources value chains) in the framework of the PROETHANOL 2G project.  This project is funded by the Seventh Framework Program (FP7) of the European Union and the Conselho Nacional de Desenvolvimento Cientifico Tecnológico (CNPq) in Brazil. This is part of the EU-Brazil Coordinated Activity plan. In that sense, the Bioenergy and Energy Planning research group (BPE) from the Ecole Polytechnique Fédérale de Lausanne (EPFL) in Switzerland has developed an integrated methodology to assess lignocellulosic biomass based biorefineries that produce bioethanol and other co-products.  The methodology is used to evaluate the economic and environmental performances of selected biorefineries.</w:t>
      </w:r>
    </w:p>
    <w:p w:rsidR="00E72FED" w:rsidRPr="003A118E" w:rsidRDefault="00E72FED" w:rsidP="00E72FED">
      <w:pPr>
        <w:pStyle w:val="Heading1"/>
        <w:spacing w:line="360" w:lineRule="auto"/>
      </w:pPr>
      <w:bookmarkStart w:id="2" w:name="_Toc420667386"/>
      <w:r>
        <w:t>integrated assessment methodology</w:t>
      </w:r>
      <w:bookmarkEnd w:id="2"/>
    </w:p>
    <w:p w:rsidR="00E72FED" w:rsidRPr="00924C4E" w:rsidRDefault="00E72FED" w:rsidP="00E72FED">
      <w:pPr>
        <w:spacing w:line="360" w:lineRule="auto"/>
      </w:pPr>
      <w:r w:rsidRPr="00924C4E">
        <w:t xml:space="preserve">Integrated schemes aim to represent multi-product valorization of biomass into energy and other value added products. Part of the process may be at the demonstration stage. In that case, innovative assessment methodology must be used to evaluate the prospective performance of the studied schemes. The methodology used by the BPE Group included the following components (Figure 1): Process description, Energy and materials balances; Value-based techno-economic assessment, Value-based Life cycle assessment, and multi-criteria comparative assessment. The different components are described in this section.  </w:t>
      </w:r>
    </w:p>
    <w:p w:rsidR="00E72FED" w:rsidRDefault="00E72FED" w:rsidP="00E72FED">
      <w:pPr>
        <w:spacing w:line="360" w:lineRule="auto"/>
        <w:jc w:val="center"/>
      </w:pPr>
      <w:r>
        <w:rPr>
          <w:noProof/>
          <w:lang w:val="fr-CH" w:eastAsia="fr-CH"/>
        </w:rPr>
        <w:drawing>
          <wp:inline distT="0" distB="0" distL="0" distR="0" wp14:anchorId="4EE46042" wp14:editId="2A4D9DE4">
            <wp:extent cx="5221356" cy="1563757"/>
            <wp:effectExtent l="0" t="0" r="0" b="0"/>
            <wp:docPr id="338922" name="Image 3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1101" cy="1563681"/>
                    </a:xfrm>
                    <a:prstGeom prst="rect">
                      <a:avLst/>
                    </a:prstGeom>
                    <a:noFill/>
                  </pic:spPr>
                </pic:pic>
              </a:graphicData>
            </a:graphic>
          </wp:inline>
        </w:drawing>
      </w:r>
    </w:p>
    <w:p w:rsidR="00E72FED" w:rsidRPr="003A118E" w:rsidRDefault="00E72FED" w:rsidP="00E72FED">
      <w:pPr>
        <w:pStyle w:val="Caption"/>
        <w:spacing w:after="0" w:line="360" w:lineRule="auto"/>
        <w:ind w:left="720" w:hanging="720"/>
        <w:jc w:val="center"/>
      </w:pPr>
      <w:bookmarkStart w:id="3" w:name="_Ref315955537"/>
      <w:r>
        <w:t xml:space="preserve">Figure </w:t>
      </w:r>
      <w:fldSimple w:instr=" SEQ Figure \* ARABIC ">
        <w:r>
          <w:rPr>
            <w:noProof/>
          </w:rPr>
          <w:t>1</w:t>
        </w:r>
      </w:fldSimple>
      <w:bookmarkEnd w:id="3"/>
      <w:r>
        <w:t xml:space="preserve"> BPE’s methodology of integrated assessment</w:t>
      </w:r>
    </w:p>
    <w:p w:rsidR="00E72FED" w:rsidRDefault="00E72FED" w:rsidP="00E72FED">
      <w:pPr>
        <w:pStyle w:val="Heading2"/>
        <w:spacing w:line="360" w:lineRule="auto"/>
      </w:pPr>
    </w:p>
    <w:p w:rsidR="00E72FED" w:rsidRDefault="00E72FED" w:rsidP="00E72FED">
      <w:pPr>
        <w:pStyle w:val="Heading2"/>
        <w:spacing w:line="360" w:lineRule="auto"/>
      </w:pPr>
      <w:bookmarkStart w:id="4" w:name="_Toc420667387"/>
      <w:r>
        <w:t>Process description, Energy and Materials balances</w:t>
      </w:r>
      <w:bookmarkEnd w:id="4"/>
    </w:p>
    <w:p w:rsidR="00E72FED" w:rsidRDefault="00E72FED" w:rsidP="00E72FED">
      <w:pPr>
        <w:spacing w:before="240" w:line="360" w:lineRule="auto"/>
        <w:rPr>
          <w:bCs/>
          <w:iCs/>
          <w:lang w:val="en-GB"/>
        </w:rPr>
      </w:pPr>
      <w:r>
        <w:t xml:space="preserve">This module was presented before in the deliverable WP6.100 based on an Excel platform developed by the BPE using adapted Aspen Plus output provided by NREL.  Further developments of BPE were based on direct use of </w:t>
      </w:r>
      <w:r>
        <w:rPr>
          <w:lang w:val="en-GB"/>
        </w:rPr>
        <w:t>Aspen Plus V8.6</w:t>
      </w:r>
      <w:r w:rsidRPr="005A4D16">
        <w:rPr>
          <w:lang w:val="en-GB"/>
        </w:rPr>
        <w:t>.</w:t>
      </w:r>
      <w:r w:rsidRPr="00E64688">
        <w:rPr>
          <w:bCs/>
          <w:iCs/>
          <w:lang w:val="en-GB"/>
        </w:rPr>
        <w:t xml:space="preserve"> </w:t>
      </w:r>
    </w:p>
    <w:p w:rsidR="00E72FED" w:rsidRPr="00E64688" w:rsidRDefault="00E72FED" w:rsidP="00E72FED">
      <w:pPr>
        <w:spacing w:line="360" w:lineRule="auto"/>
        <w:rPr>
          <w:bCs/>
          <w:iCs/>
          <w:lang w:val="en-GB"/>
        </w:rPr>
      </w:pPr>
      <w:r>
        <w:rPr>
          <w:bCs/>
          <w:iCs/>
          <w:lang w:val="en-GB"/>
        </w:rPr>
        <w:t>The process</w:t>
      </w:r>
      <w:r w:rsidR="001A7E73">
        <w:rPr>
          <w:bCs/>
          <w:iCs/>
          <w:lang w:val="en-GB"/>
        </w:rPr>
        <w:t xml:space="preserve"> simulated in Aspen Plus V8.6</w:t>
      </w:r>
      <w:r w:rsidR="00975744">
        <w:rPr>
          <w:bCs/>
          <w:iCs/>
          <w:lang w:val="en-GB"/>
        </w:rPr>
        <w:t xml:space="preserve"> is a</w:t>
      </w:r>
      <w:r>
        <w:rPr>
          <w:bCs/>
          <w:iCs/>
          <w:lang w:val="en-GB"/>
        </w:rPr>
        <w:t xml:space="preserve"> </w:t>
      </w:r>
      <w:r w:rsidR="00975744" w:rsidRPr="00E64688">
        <w:rPr>
          <w:bCs/>
          <w:iCs/>
          <w:lang w:val="en-GB"/>
        </w:rPr>
        <w:t>modifi</w:t>
      </w:r>
      <w:r w:rsidR="00975744">
        <w:rPr>
          <w:bCs/>
          <w:iCs/>
          <w:lang w:val="en-GB"/>
        </w:rPr>
        <w:t xml:space="preserve">cation of the </w:t>
      </w:r>
      <w:r w:rsidR="001A7E73">
        <w:rPr>
          <w:bCs/>
          <w:iCs/>
          <w:lang w:val="en-GB"/>
        </w:rPr>
        <w:t>model</w:t>
      </w:r>
      <w:r w:rsidR="00975744">
        <w:rPr>
          <w:bCs/>
          <w:iCs/>
          <w:lang w:val="en-GB"/>
        </w:rPr>
        <w:t xml:space="preserve"> developed by</w:t>
      </w:r>
      <w:r w:rsidR="00975744" w:rsidRPr="00E64688">
        <w:rPr>
          <w:bCs/>
          <w:iCs/>
          <w:lang w:val="en-GB"/>
        </w:rPr>
        <w:t xml:space="preserve"> NREL</w:t>
      </w:r>
      <w:r w:rsidR="00975744">
        <w:rPr>
          <w:bCs/>
          <w:iCs/>
          <w:lang w:val="en-GB"/>
        </w:rPr>
        <w:t xml:space="preserve"> (Ad</w:t>
      </w:r>
      <w:r w:rsidR="00975744" w:rsidRPr="001069D5">
        <w:rPr>
          <w:bCs/>
          <w:iCs/>
          <w:lang w:val="en-GB"/>
        </w:rPr>
        <w:t>en et al. 2002).</w:t>
      </w:r>
      <w:r w:rsidR="00975744">
        <w:rPr>
          <w:bCs/>
          <w:iCs/>
          <w:lang w:val="en-GB"/>
        </w:rPr>
        <w:t xml:space="preserve"> It is</w:t>
      </w:r>
      <w:r>
        <w:rPr>
          <w:bCs/>
          <w:iCs/>
          <w:lang w:val="en-GB"/>
        </w:rPr>
        <w:t xml:space="preserve"> divided </w:t>
      </w:r>
      <w:r w:rsidR="001A7E73">
        <w:rPr>
          <w:bCs/>
          <w:iCs/>
          <w:lang w:val="en-GB"/>
        </w:rPr>
        <w:t xml:space="preserve">in different </w:t>
      </w:r>
      <w:r>
        <w:rPr>
          <w:bCs/>
          <w:iCs/>
          <w:lang w:val="en-GB"/>
        </w:rPr>
        <w:t>areas</w:t>
      </w:r>
      <w:r w:rsidR="001A7E73">
        <w:rPr>
          <w:bCs/>
          <w:iCs/>
          <w:lang w:val="en-GB"/>
        </w:rPr>
        <w:t>:</w:t>
      </w:r>
      <w:r>
        <w:rPr>
          <w:bCs/>
          <w:iCs/>
          <w:lang w:val="en-GB"/>
        </w:rPr>
        <w:t xml:space="preserve"> production of sugarcane juice, production of bioethanol and co-products, waste water </w:t>
      </w:r>
      <w:r>
        <w:rPr>
          <w:bCs/>
          <w:iCs/>
          <w:lang w:val="en-GB"/>
        </w:rPr>
        <w:lastRenderedPageBreak/>
        <w:t>treatment</w:t>
      </w:r>
      <w:r w:rsidR="001A7E73">
        <w:rPr>
          <w:bCs/>
          <w:iCs/>
          <w:lang w:val="en-GB"/>
        </w:rPr>
        <w:t xml:space="preserve"> and</w:t>
      </w:r>
      <w:r>
        <w:rPr>
          <w:bCs/>
          <w:iCs/>
          <w:lang w:val="en-GB"/>
        </w:rPr>
        <w:t xml:space="preserve"> cogeneration system. A</w:t>
      </w:r>
      <w:r w:rsidR="001A7E73">
        <w:rPr>
          <w:bCs/>
          <w:iCs/>
          <w:lang w:val="en-GB"/>
        </w:rPr>
        <w:t>n</w:t>
      </w:r>
      <w:r>
        <w:rPr>
          <w:bCs/>
          <w:iCs/>
          <w:lang w:val="en-GB"/>
        </w:rPr>
        <w:t xml:space="preserve"> Excel </w:t>
      </w:r>
      <w:r w:rsidR="001A7E73">
        <w:rPr>
          <w:bCs/>
          <w:iCs/>
          <w:lang w:val="en-GB"/>
        </w:rPr>
        <w:t xml:space="preserve">spreadsheet created in this group, </w:t>
      </w:r>
      <w:r>
        <w:rPr>
          <w:bCs/>
          <w:iCs/>
          <w:lang w:val="en-GB"/>
        </w:rPr>
        <w:t>displays the total mass flow of every stream entering and leaving the pr</w:t>
      </w:r>
      <w:r w:rsidR="001A7E73">
        <w:rPr>
          <w:bCs/>
          <w:iCs/>
          <w:lang w:val="en-GB"/>
        </w:rPr>
        <w:t xml:space="preserve">ocess </w:t>
      </w:r>
      <w:r w:rsidR="00DF4742">
        <w:rPr>
          <w:bCs/>
          <w:iCs/>
          <w:lang w:val="en-GB"/>
        </w:rPr>
        <w:t xml:space="preserve">and the energy requirements </w:t>
      </w:r>
      <w:r w:rsidR="001A7E73">
        <w:rPr>
          <w:bCs/>
          <w:iCs/>
          <w:lang w:val="en-GB"/>
        </w:rPr>
        <w:t>once the simulation is converged</w:t>
      </w:r>
      <w:r>
        <w:rPr>
          <w:bCs/>
          <w:iCs/>
          <w:lang w:val="en-GB"/>
        </w:rPr>
        <w:t xml:space="preserve">. The simulation results are evaluated to check the performance of the plant prior to LCA calculation </w:t>
      </w:r>
    </w:p>
    <w:p w:rsidR="00E72FED" w:rsidRDefault="00E72FED" w:rsidP="00E72FED">
      <w:pPr>
        <w:pStyle w:val="Heading2"/>
        <w:spacing w:line="360" w:lineRule="auto"/>
      </w:pPr>
      <w:bookmarkStart w:id="5" w:name="_Toc420667388"/>
      <w:r>
        <w:t>Value-based techno-economic assessment</w:t>
      </w:r>
      <w:bookmarkEnd w:id="5"/>
    </w:p>
    <w:p w:rsidR="00E72FED" w:rsidRDefault="00583917" w:rsidP="00050015">
      <w:pPr>
        <w:pStyle w:val="Footer"/>
        <w:tabs>
          <w:tab w:val="left" w:pos="426"/>
        </w:tabs>
        <w:spacing w:before="240" w:line="360" w:lineRule="auto"/>
        <w:rPr>
          <w:bCs/>
          <w:iCs/>
        </w:rPr>
      </w:pPr>
      <w:r>
        <w:rPr>
          <w:bCs/>
          <w:iCs/>
        </w:rPr>
        <w:t>A</w:t>
      </w:r>
      <w:r w:rsidR="00E72FED">
        <w:rPr>
          <w:bCs/>
          <w:iCs/>
        </w:rPr>
        <w:t xml:space="preserve"> value-based </w:t>
      </w:r>
      <w:r w:rsidR="00E72FED" w:rsidRPr="00416125">
        <w:rPr>
          <w:bCs/>
          <w:iCs/>
        </w:rPr>
        <w:t xml:space="preserve">approach </w:t>
      </w:r>
      <w:r w:rsidR="00224D89">
        <w:rPr>
          <w:bCs/>
          <w:iCs/>
        </w:rPr>
        <w:t xml:space="preserve">is proposed to perform the techno-economic assessment </w:t>
      </w:r>
      <w:r w:rsidR="00E72FED" w:rsidRPr="00416125">
        <w:rPr>
          <w:bCs/>
          <w:iCs/>
        </w:rPr>
        <w:t>(Gnansounou and Dauriat, 2010).</w:t>
      </w:r>
      <w:r w:rsidR="00E72FED">
        <w:rPr>
          <w:bCs/>
          <w:iCs/>
        </w:rPr>
        <w:t xml:space="preserve"> </w:t>
      </w:r>
      <w:r w:rsidR="00224D89">
        <w:rPr>
          <w:bCs/>
          <w:iCs/>
        </w:rPr>
        <w:t>I</w:t>
      </w:r>
      <w:r w:rsidR="00E72FED">
        <w:rPr>
          <w:bCs/>
          <w:iCs/>
        </w:rPr>
        <w:t xml:space="preserve">n </w:t>
      </w:r>
      <w:r w:rsidR="00050015">
        <w:rPr>
          <w:bCs/>
          <w:iCs/>
        </w:rPr>
        <w:t>this context</w:t>
      </w:r>
      <w:r w:rsidR="00224D89">
        <w:rPr>
          <w:bCs/>
          <w:iCs/>
        </w:rPr>
        <w:t>,</w:t>
      </w:r>
      <w:r w:rsidR="00050015">
        <w:rPr>
          <w:bCs/>
          <w:iCs/>
        </w:rPr>
        <w:t xml:space="preserve"> several </w:t>
      </w:r>
      <w:r w:rsidR="00224D89">
        <w:rPr>
          <w:bCs/>
          <w:iCs/>
        </w:rPr>
        <w:t xml:space="preserve">factors </w:t>
      </w:r>
      <w:r w:rsidR="00E72FED">
        <w:rPr>
          <w:bCs/>
          <w:iCs/>
        </w:rPr>
        <w:t>such as target cost, market prices of the co-products at the assessment year,</w:t>
      </w:r>
      <w:r w:rsidR="00224D89">
        <w:rPr>
          <w:bCs/>
          <w:iCs/>
        </w:rPr>
        <w:t xml:space="preserve"> or </w:t>
      </w:r>
      <w:r w:rsidR="00E72FED">
        <w:rPr>
          <w:bCs/>
          <w:iCs/>
        </w:rPr>
        <w:t>value of the intermediate streams</w:t>
      </w:r>
      <w:r w:rsidR="00224D89">
        <w:rPr>
          <w:bCs/>
          <w:iCs/>
        </w:rPr>
        <w:t xml:space="preserve"> </w:t>
      </w:r>
      <w:r>
        <w:rPr>
          <w:bCs/>
          <w:iCs/>
        </w:rPr>
        <w:t>are</w:t>
      </w:r>
      <w:r w:rsidR="00224D89">
        <w:rPr>
          <w:bCs/>
          <w:iCs/>
        </w:rPr>
        <w:t xml:space="preserve"> taken into account</w:t>
      </w:r>
      <w:r w:rsidR="00E72FED">
        <w:rPr>
          <w:bCs/>
          <w:iCs/>
        </w:rPr>
        <w:t>. The prospective economic performance (PEP) of the scheme is the differen</w:t>
      </w:r>
      <w:r w:rsidR="0001731C">
        <w:rPr>
          <w:bCs/>
          <w:iCs/>
        </w:rPr>
        <w:t xml:space="preserve">ce between: (1) </w:t>
      </w:r>
      <w:r w:rsidR="0001731C">
        <w:rPr>
          <w:bCs/>
          <w:iCs/>
        </w:rPr>
        <w:t>the biorefinery-producer-maximum-purchasing-price (BPMP) of the biomass feedstock</w:t>
      </w:r>
      <w:r w:rsidR="009A5306">
        <w:rPr>
          <w:bCs/>
          <w:iCs/>
        </w:rPr>
        <w:t>,</w:t>
      </w:r>
      <w:r w:rsidR="0001731C">
        <w:rPr>
          <w:bCs/>
          <w:iCs/>
        </w:rPr>
        <w:t xml:space="preserve"> </w:t>
      </w:r>
      <w:r w:rsidR="0001731C">
        <w:rPr>
          <w:bCs/>
          <w:iCs/>
        </w:rPr>
        <w:t xml:space="preserve">minus (2) </w:t>
      </w:r>
      <w:r w:rsidR="0001731C">
        <w:rPr>
          <w:bCs/>
          <w:iCs/>
        </w:rPr>
        <w:t xml:space="preserve">the biomass-supplier-minimum-selling-price (BSMP). </w:t>
      </w:r>
      <w:r w:rsidR="00E72FED">
        <w:rPr>
          <w:bCs/>
          <w:iCs/>
        </w:rPr>
        <w:t>The biomass to bio-products value chain is not economically valuable if PEP is negative.</w:t>
      </w:r>
    </w:p>
    <w:p w:rsidR="00E72FED" w:rsidRDefault="00E72FED" w:rsidP="00E72FED">
      <w:pPr>
        <w:pStyle w:val="Heading2"/>
        <w:spacing w:line="360" w:lineRule="auto"/>
      </w:pPr>
      <w:bookmarkStart w:id="6" w:name="_Toc420667389"/>
      <w:r>
        <w:t>Value-based LCA</w:t>
      </w:r>
      <w:bookmarkEnd w:id="6"/>
    </w:p>
    <w:p w:rsidR="00E72FED" w:rsidRDefault="00E72FED" w:rsidP="00E72FED">
      <w:pPr>
        <w:pStyle w:val="Footer"/>
        <w:tabs>
          <w:tab w:val="left" w:pos="426"/>
        </w:tabs>
        <w:spacing w:before="240" w:line="360" w:lineRule="auto"/>
        <w:rPr>
          <w:bCs/>
          <w:iCs/>
        </w:rPr>
      </w:pPr>
      <w:r>
        <w:rPr>
          <w:bCs/>
          <w:iCs/>
        </w:rPr>
        <w:t>In th</w:t>
      </w:r>
      <w:r w:rsidR="00B86C10">
        <w:rPr>
          <w:bCs/>
          <w:iCs/>
        </w:rPr>
        <w:t>is paradigm,</w:t>
      </w:r>
      <w:r>
        <w:rPr>
          <w:bCs/>
          <w:iCs/>
        </w:rPr>
        <w:t xml:space="preserve"> the whole biorefinery as well as each co-product </w:t>
      </w:r>
      <w:r w:rsidR="00B86C10">
        <w:rPr>
          <w:bCs/>
          <w:iCs/>
        </w:rPr>
        <w:t>is</w:t>
      </w:r>
      <w:r>
        <w:rPr>
          <w:bCs/>
          <w:iCs/>
        </w:rPr>
        <w:t xml:space="preserve"> subject to sustainability target. In the proposed value-based LCA, the allocation of the environmental burdens is performed according to a value-based economic approach.</w:t>
      </w:r>
    </w:p>
    <w:p w:rsidR="00E72FED" w:rsidRDefault="00E72FED" w:rsidP="00E72FED">
      <w:pPr>
        <w:pStyle w:val="Heading2"/>
        <w:spacing w:line="360" w:lineRule="auto"/>
      </w:pPr>
      <w:bookmarkStart w:id="7" w:name="_Toc420667390"/>
      <w:r>
        <w:t>Multi-criteria comparative assessment</w:t>
      </w:r>
      <w:bookmarkEnd w:id="7"/>
    </w:p>
    <w:p w:rsidR="00E72FED" w:rsidRDefault="00E72FED" w:rsidP="00E72FED">
      <w:pPr>
        <w:pStyle w:val="Footer"/>
        <w:tabs>
          <w:tab w:val="left" w:pos="426"/>
        </w:tabs>
        <w:spacing w:before="240" w:line="360" w:lineRule="auto"/>
        <w:rPr>
          <w:bCs/>
          <w:iCs/>
        </w:rPr>
      </w:pPr>
      <w:r>
        <w:rPr>
          <w:bCs/>
          <w:iCs/>
        </w:rPr>
        <w:t xml:space="preserve">Selected biorefinery schemes are compared according to the value-based economic performance as well as for the value-based LCA. When the weights of the criteria are different, a multi-criteria method </w:t>
      </w:r>
      <w:r w:rsidR="00B86C10">
        <w:rPr>
          <w:bCs/>
          <w:iCs/>
        </w:rPr>
        <w:t>is</w:t>
      </w:r>
      <w:r>
        <w:rPr>
          <w:bCs/>
          <w:iCs/>
        </w:rPr>
        <w:t xml:space="preserve"> used</w:t>
      </w:r>
      <w:r w:rsidR="00B86C10">
        <w:rPr>
          <w:bCs/>
          <w:iCs/>
        </w:rPr>
        <w:t xml:space="preserve"> to</w:t>
      </w:r>
      <w:r>
        <w:rPr>
          <w:bCs/>
          <w:iCs/>
        </w:rPr>
        <w:t xml:space="preserve"> develop outranking relations</w:t>
      </w:r>
      <w:r w:rsidR="00233463">
        <w:rPr>
          <w:bCs/>
          <w:iCs/>
        </w:rPr>
        <w:t xml:space="preserve"> between</w:t>
      </w:r>
      <w:r w:rsidR="00233463">
        <w:rPr>
          <w:bCs/>
          <w:iCs/>
        </w:rPr>
        <w:t xml:space="preserve"> </w:t>
      </w:r>
      <w:r w:rsidR="00233463">
        <w:rPr>
          <w:bCs/>
          <w:iCs/>
        </w:rPr>
        <w:t>scheme pairs.</w:t>
      </w:r>
    </w:p>
    <w:p w:rsidR="00E72FED" w:rsidRDefault="00E72FED" w:rsidP="00E72FED">
      <w:pPr>
        <w:pStyle w:val="Heading1"/>
        <w:spacing w:line="360" w:lineRule="auto"/>
      </w:pPr>
      <w:bookmarkStart w:id="8" w:name="_Toc420667391"/>
      <w:r>
        <w:t>2G ethanol and Heat &amp; Power Generation</w:t>
      </w:r>
      <w:bookmarkEnd w:id="8"/>
    </w:p>
    <w:p w:rsidR="00E72FED" w:rsidRDefault="00E72FED" w:rsidP="00E72FED">
      <w:pPr>
        <w:pStyle w:val="Heading2"/>
        <w:spacing w:line="360" w:lineRule="auto"/>
      </w:pPr>
    </w:p>
    <w:p w:rsidR="00E72FED" w:rsidRPr="00124611" w:rsidRDefault="00E72FED" w:rsidP="00E72FED">
      <w:pPr>
        <w:pStyle w:val="Heading2"/>
        <w:spacing w:line="360" w:lineRule="auto"/>
      </w:pPr>
      <w:bookmarkStart w:id="9" w:name="_Toc420667392"/>
      <w:r w:rsidRPr="00124611">
        <w:t>Fuelling the biorefinery with a renewable energy source</w:t>
      </w:r>
      <w:bookmarkEnd w:id="9"/>
    </w:p>
    <w:p w:rsidR="00E72FED" w:rsidRPr="00124611" w:rsidRDefault="00E72FED" w:rsidP="00E72FED">
      <w:pPr>
        <w:pStyle w:val="Footer"/>
        <w:tabs>
          <w:tab w:val="left" w:pos="426"/>
        </w:tabs>
        <w:spacing w:line="360" w:lineRule="auto"/>
        <w:rPr>
          <w:bCs/>
          <w:iCs/>
        </w:rPr>
      </w:pPr>
      <w:r w:rsidRPr="00124611">
        <w:rPr>
          <w:bCs/>
          <w:iCs/>
        </w:rPr>
        <w:t>In order to obtain heat and power fuelled by biomass residues, a cogeneration system is implemented in the integrated 1G2G scenarios. The purpose of this area is to burn various organic co-product streams along with the biomass not used in the ethanol plant and the 50% GHR removed from the soil. Combustible streams include the lignin and the unconverted cellulose and hemicellulose from the feedstock, biogas from anaerobic digestion, and biomass sludge from the waste water treatment. Burning these co-product streams may also be economically beneficial because of a reduction of the solid waste disposal costs, and possible revenue through sale of excess electricity.</w:t>
      </w:r>
    </w:p>
    <w:p w:rsidR="00E72FED" w:rsidRPr="00124611" w:rsidRDefault="00E72FED" w:rsidP="00E72FED">
      <w:pPr>
        <w:pStyle w:val="Heading1"/>
        <w:spacing w:line="360" w:lineRule="auto"/>
      </w:pPr>
      <w:bookmarkStart w:id="10" w:name="_Toc420667393"/>
      <w:r w:rsidRPr="00124611">
        <w:lastRenderedPageBreak/>
        <w:t>Lignin value chains</w:t>
      </w:r>
      <w:bookmarkEnd w:id="10"/>
    </w:p>
    <w:p w:rsidR="00E72FED" w:rsidRPr="00124611" w:rsidRDefault="00E72FED" w:rsidP="00E72FED">
      <w:pPr>
        <w:pStyle w:val="Heading2"/>
        <w:spacing w:line="360" w:lineRule="auto"/>
      </w:pPr>
      <w:bookmarkStart w:id="11" w:name="_Toc420667394"/>
      <w:r w:rsidRPr="00124611">
        <w:t>Conversion into carbon fibres and other materials</w:t>
      </w:r>
      <w:bookmarkEnd w:id="11"/>
    </w:p>
    <w:p w:rsidR="00E72FED" w:rsidRPr="00124611" w:rsidRDefault="00E72FED" w:rsidP="00E72FED">
      <w:pPr>
        <w:pStyle w:val="Footer"/>
        <w:tabs>
          <w:tab w:val="left" w:pos="426"/>
        </w:tabs>
        <w:spacing w:before="240" w:line="360" w:lineRule="auto"/>
        <w:rPr>
          <w:bCs/>
          <w:iCs/>
        </w:rPr>
      </w:pPr>
      <w:r w:rsidRPr="00124611">
        <w:rPr>
          <w:bCs/>
          <w:iCs/>
        </w:rPr>
        <w:t xml:space="preserve">Lignin can be converted into carbon fibres that can be utilized in advanced composite materials in cars for instance. It can also be used as insulation in the construction sector </w:t>
      </w:r>
    </w:p>
    <w:p w:rsidR="00E72FED" w:rsidRPr="00124611" w:rsidRDefault="00E72FED" w:rsidP="00E72FED">
      <w:pPr>
        <w:pStyle w:val="Footer"/>
        <w:tabs>
          <w:tab w:val="left" w:pos="426"/>
        </w:tabs>
        <w:spacing w:line="360" w:lineRule="auto"/>
        <w:rPr>
          <w:bCs/>
          <w:iCs/>
        </w:rPr>
      </w:pPr>
      <w:r w:rsidRPr="00124611">
        <w:rPr>
          <w:bCs/>
          <w:iCs/>
        </w:rPr>
        <w:t>However the feasibility of these value chains depends on the quality of the lignin. According to Greenvalue (one of the partners of ProEthanol2G project) the samples analyzed by them were too high in ash content. That lignin may not be suitable for value added products.</w:t>
      </w:r>
    </w:p>
    <w:p w:rsidR="00E72FED" w:rsidRPr="00124611" w:rsidRDefault="00E72FED" w:rsidP="00E72FED">
      <w:pPr>
        <w:pStyle w:val="Footer"/>
        <w:tabs>
          <w:tab w:val="left" w:pos="426"/>
        </w:tabs>
        <w:spacing w:line="360" w:lineRule="auto"/>
        <w:rPr>
          <w:bCs/>
          <w:iCs/>
        </w:rPr>
      </w:pPr>
      <w:r w:rsidRPr="00124611">
        <w:rPr>
          <w:bCs/>
          <w:iCs/>
        </w:rPr>
        <w:t>Instead of high value added products, Greenvalue proposed few applications in the task D5.130.</w:t>
      </w:r>
    </w:p>
    <w:p w:rsidR="00E72FED" w:rsidRPr="00124611" w:rsidRDefault="00E72FED" w:rsidP="00E72FED">
      <w:pPr>
        <w:pStyle w:val="Footer"/>
        <w:tabs>
          <w:tab w:val="left" w:pos="426"/>
        </w:tabs>
        <w:spacing w:line="360" w:lineRule="auto"/>
        <w:rPr>
          <w:bCs/>
          <w:iCs/>
        </w:rPr>
      </w:pPr>
      <w:r w:rsidRPr="00124611">
        <w:rPr>
          <w:bCs/>
          <w:iCs/>
        </w:rPr>
        <w:t>According to Greenvalue, after purification, lignin from bagasse can be used as additive to improve the fluidity of concrete and shows similar performance to commercial additives. It can also be used as partial phenol replacement in some resins.</w:t>
      </w:r>
    </w:p>
    <w:p w:rsidR="00E72FED" w:rsidRPr="00124611" w:rsidRDefault="00E72FED" w:rsidP="00E72FED">
      <w:pPr>
        <w:pStyle w:val="Footer"/>
        <w:tabs>
          <w:tab w:val="left" w:pos="426"/>
        </w:tabs>
        <w:spacing w:line="360" w:lineRule="auto"/>
        <w:rPr>
          <w:bCs/>
          <w:iCs/>
        </w:rPr>
      </w:pPr>
      <w:r w:rsidRPr="00124611">
        <w:rPr>
          <w:bCs/>
          <w:iCs/>
        </w:rPr>
        <w:t xml:space="preserve">However, from integrated value point of view, the diversion of lignin for such products may lead to the need of another fuel for the Heat and Power generation.  </w:t>
      </w:r>
    </w:p>
    <w:p w:rsidR="00E72FED" w:rsidRPr="00124611" w:rsidRDefault="00E72FED" w:rsidP="00E72FED">
      <w:pPr>
        <w:pStyle w:val="Heading2"/>
        <w:spacing w:line="360" w:lineRule="auto"/>
      </w:pPr>
      <w:bookmarkStart w:id="12" w:name="_Toc420667395"/>
      <w:r w:rsidRPr="00124611">
        <w:t>Lignin as a feedstock of co-generation of heat and Power</w:t>
      </w:r>
      <w:bookmarkEnd w:id="12"/>
    </w:p>
    <w:p w:rsidR="00E72FED" w:rsidRPr="00124611" w:rsidRDefault="00E72FED" w:rsidP="00E72FED">
      <w:pPr>
        <w:spacing w:line="360" w:lineRule="auto"/>
      </w:pPr>
    </w:p>
    <w:p w:rsidR="00E72FED" w:rsidRPr="00124611" w:rsidRDefault="00E72FED" w:rsidP="00E72FED">
      <w:pPr>
        <w:spacing w:line="360" w:lineRule="auto"/>
      </w:pPr>
      <w:r w:rsidRPr="00124611">
        <w:t>Another use of the lignin produced after distilling the fermentation broth is conversion into lignin biofuel pellets. This scheme is illustrated in Figure 2 as an example of a biomass refinery producing bioethanol, C5 molasses, electricity and pellets. This option was also designed by Inbicon using corn stover as feedstock (Kamp, 2012). The market for lignin pellets is already available and the energy content of this material is significant, thus the revenues from this new product are increased. In the proposed desin (Figure 2) 17% of the lignin residue is destined to pellets production. In this case, the cogeneration part of the biorefinery (CHP plant) is fed with the rest of bagasse not used for the ethanol production, the GHR taken from the field, and the rest of lignin. The CHP plant produces the total amount of electricity and steam required by the process. This plant also produces extra electricity that is sold to the grid.</w:t>
      </w:r>
    </w:p>
    <w:p w:rsidR="00E72FED" w:rsidRPr="00124611" w:rsidRDefault="00E72FED" w:rsidP="00E72FED">
      <w:pPr>
        <w:pStyle w:val="Caption"/>
        <w:spacing w:line="360" w:lineRule="auto"/>
        <w:jc w:val="center"/>
      </w:pPr>
      <w:r w:rsidRPr="00124611">
        <w:rPr>
          <w:noProof/>
          <w:lang w:val="fr-CH" w:eastAsia="fr-CH"/>
        </w:rPr>
        <w:lastRenderedPageBreak/>
        <w:drawing>
          <wp:inline distT="0" distB="0" distL="0" distR="0" wp14:anchorId="7EAF0C77" wp14:editId="1C7E2CDD">
            <wp:extent cx="6400800" cy="359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596595"/>
                    </a:xfrm>
                    <a:prstGeom prst="rect">
                      <a:avLst/>
                    </a:prstGeom>
                    <a:noFill/>
                    <a:ln>
                      <a:noFill/>
                    </a:ln>
                  </pic:spPr>
                </pic:pic>
              </a:graphicData>
            </a:graphic>
          </wp:inline>
        </w:drawing>
      </w:r>
      <w:r w:rsidRPr="00124611">
        <w:t xml:space="preserve"> Figure 2 Biomass refinery using a heat &amp; power production plant – Integration scheme for production of lignin pellets, ethanol, C5 molasses and surplus electricity from sugarcane. </w:t>
      </w:r>
    </w:p>
    <w:p w:rsidR="00E72FED" w:rsidRPr="00A7330C" w:rsidRDefault="00E72FED" w:rsidP="00E72FED">
      <w:pPr>
        <w:pStyle w:val="Footer"/>
        <w:tabs>
          <w:tab w:val="left" w:pos="426"/>
        </w:tabs>
        <w:spacing w:line="360" w:lineRule="auto"/>
        <w:rPr>
          <w:bCs/>
          <w:iCs/>
          <w:highlight w:val="yellow"/>
        </w:rPr>
      </w:pPr>
    </w:p>
    <w:p w:rsidR="00E72FED" w:rsidRPr="00A7330C" w:rsidRDefault="00E72FED" w:rsidP="00E72FED">
      <w:pPr>
        <w:pStyle w:val="Footer"/>
        <w:tabs>
          <w:tab w:val="left" w:pos="426"/>
        </w:tabs>
        <w:spacing w:line="360" w:lineRule="auto"/>
        <w:rPr>
          <w:bCs/>
          <w:iCs/>
          <w:highlight w:val="yellow"/>
        </w:rPr>
      </w:pPr>
    </w:p>
    <w:p w:rsidR="00E72FED" w:rsidRPr="00124611" w:rsidRDefault="00E72FED" w:rsidP="00E72FED">
      <w:pPr>
        <w:pStyle w:val="Heading1"/>
        <w:spacing w:line="360" w:lineRule="auto"/>
      </w:pPr>
      <w:bookmarkStart w:id="13" w:name="_Toc420667396"/>
      <w:r w:rsidRPr="00124611">
        <w:t>C5 Value chains</w:t>
      </w:r>
      <w:bookmarkEnd w:id="13"/>
    </w:p>
    <w:p w:rsidR="00E72FED" w:rsidRPr="00124611" w:rsidRDefault="00E72FED" w:rsidP="00E72FED">
      <w:pPr>
        <w:pStyle w:val="Heading2"/>
        <w:spacing w:line="360" w:lineRule="auto"/>
      </w:pPr>
      <w:bookmarkStart w:id="14" w:name="_Toc420667397"/>
      <w:r w:rsidRPr="00124611">
        <w:t>Valorization as animal feed</w:t>
      </w:r>
      <w:bookmarkEnd w:id="14"/>
    </w:p>
    <w:p w:rsidR="00E72FED" w:rsidRDefault="00E72FED" w:rsidP="00E72FED">
      <w:pPr>
        <w:pStyle w:val="Footer"/>
        <w:tabs>
          <w:tab w:val="left" w:pos="426"/>
        </w:tabs>
        <w:spacing w:line="360" w:lineRule="auto"/>
        <w:rPr>
          <w:bCs/>
          <w:iCs/>
        </w:rPr>
      </w:pPr>
      <w:r w:rsidRPr="00124611">
        <w:rPr>
          <w:bCs/>
          <w:iCs/>
        </w:rPr>
        <w:t>In the biorefinery schemes assessed within WP6, C5 sugars are converted either in 2G bioethanol or in syrup for animal feed according to the IBUS concept (Larsen et al., 2008) as described in D6.100.</w:t>
      </w:r>
      <w:r>
        <w:rPr>
          <w:bCs/>
          <w:iCs/>
        </w:rPr>
        <w:t xml:space="preserve"> </w:t>
      </w:r>
    </w:p>
    <w:p w:rsidR="00E72FED" w:rsidRDefault="00E72FED" w:rsidP="00E72FED">
      <w:pPr>
        <w:pStyle w:val="Heading1"/>
        <w:spacing w:line="360" w:lineRule="auto"/>
      </w:pPr>
      <w:bookmarkStart w:id="15" w:name="_Toc420667398"/>
      <w:r>
        <w:t>Study of integrated schemes</w:t>
      </w:r>
      <w:bookmarkEnd w:id="15"/>
    </w:p>
    <w:p w:rsidR="00E72FED" w:rsidRDefault="00E72FED" w:rsidP="00E72FED">
      <w:pPr>
        <w:pStyle w:val="Heading2"/>
        <w:spacing w:line="360" w:lineRule="auto"/>
      </w:pPr>
      <w:bookmarkStart w:id="16" w:name="_Toc420667399"/>
      <w:r>
        <w:t>Description of the scenarios of integrated schemes</w:t>
      </w:r>
      <w:bookmarkEnd w:id="16"/>
    </w:p>
    <w:p w:rsidR="00E72FED" w:rsidRPr="00FD3350" w:rsidRDefault="00E72FED" w:rsidP="00E72FED">
      <w:pPr>
        <w:pStyle w:val="Footer"/>
        <w:tabs>
          <w:tab w:val="left" w:pos="426"/>
        </w:tabs>
        <w:spacing w:line="360" w:lineRule="auto"/>
        <w:rPr>
          <w:bCs/>
          <w:iCs/>
        </w:rPr>
      </w:pPr>
      <w:r w:rsidRPr="00FD3350">
        <w:rPr>
          <w:bCs/>
          <w:iCs/>
        </w:rPr>
        <w:t>Several integrated schemes were assessed as presented below.</w:t>
      </w:r>
    </w:p>
    <w:p w:rsidR="00E72FED" w:rsidRPr="00FD3350" w:rsidRDefault="00E72FED" w:rsidP="00E72FED">
      <w:pPr>
        <w:pStyle w:val="Footer"/>
        <w:tabs>
          <w:tab w:val="left" w:pos="426"/>
        </w:tabs>
        <w:spacing w:line="360" w:lineRule="auto"/>
        <w:rPr>
          <w:bCs/>
          <w:iCs/>
          <w:u w:val="single"/>
        </w:rPr>
      </w:pPr>
      <w:r w:rsidRPr="00FD3350">
        <w:rPr>
          <w:bCs/>
          <w:iCs/>
          <w:u w:val="single"/>
        </w:rPr>
        <w:t>Integration options</w:t>
      </w:r>
    </w:p>
    <w:p w:rsidR="00E72FED" w:rsidRPr="00FD3350" w:rsidRDefault="00E72FED" w:rsidP="00E72FED">
      <w:pPr>
        <w:pStyle w:val="Footer"/>
        <w:tabs>
          <w:tab w:val="left" w:pos="426"/>
        </w:tabs>
        <w:spacing w:line="360" w:lineRule="auto"/>
        <w:rPr>
          <w:bCs/>
          <w:iCs/>
        </w:rPr>
      </w:pPr>
      <w:r w:rsidRPr="00FD3350">
        <w:rPr>
          <w:bCs/>
          <w:iCs/>
        </w:rPr>
        <w:t>Four plants were modeled integrating 1</w:t>
      </w:r>
      <w:r w:rsidRPr="00FD3350">
        <w:rPr>
          <w:bCs/>
          <w:iCs/>
          <w:vertAlign w:val="superscript"/>
        </w:rPr>
        <w:t>st</w:t>
      </w:r>
      <w:r w:rsidRPr="00FD3350">
        <w:rPr>
          <w:bCs/>
          <w:iCs/>
        </w:rPr>
        <w:t xml:space="preserve"> and 2</w:t>
      </w:r>
      <w:r w:rsidRPr="00FD3350">
        <w:rPr>
          <w:bCs/>
          <w:iCs/>
          <w:vertAlign w:val="superscript"/>
        </w:rPr>
        <w:t>nd</w:t>
      </w:r>
      <w:r w:rsidRPr="00FD3350">
        <w:rPr>
          <w:bCs/>
          <w:iCs/>
        </w:rPr>
        <w:t xml:space="preserve"> generation. The integration scenarios are as follows:</w:t>
      </w:r>
    </w:p>
    <w:p w:rsidR="00E72FED" w:rsidRPr="00FD3350" w:rsidRDefault="00E72FED" w:rsidP="00E72FED">
      <w:pPr>
        <w:pStyle w:val="Footer"/>
        <w:numPr>
          <w:ilvl w:val="0"/>
          <w:numId w:val="36"/>
        </w:numPr>
        <w:tabs>
          <w:tab w:val="left" w:pos="426"/>
        </w:tabs>
        <w:spacing w:line="360" w:lineRule="auto"/>
        <w:rPr>
          <w:bCs/>
          <w:iCs/>
        </w:rPr>
      </w:pPr>
      <w:r w:rsidRPr="00FD3350">
        <w:rPr>
          <w:bCs/>
          <w:iCs/>
        </w:rPr>
        <w:t>One plant producing sugar and 1G ethanol from sugar cane juice, and only ethanol from bagasse – called SM-OF</w:t>
      </w:r>
    </w:p>
    <w:p w:rsidR="00E72FED" w:rsidRPr="00FD3350" w:rsidRDefault="00E72FED" w:rsidP="00E72FED">
      <w:pPr>
        <w:pStyle w:val="Footer"/>
        <w:numPr>
          <w:ilvl w:val="0"/>
          <w:numId w:val="36"/>
        </w:numPr>
        <w:tabs>
          <w:tab w:val="left" w:pos="426"/>
        </w:tabs>
        <w:spacing w:line="360" w:lineRule="auto"/>
        <w:rPr>
          <w:bCs/>
          <w:iCs/>
        </w:rPr>
      </w:pPr>
      <w:r w:rsidRPr="00FD3350">
        <w:rPr>
          <w:bCs/>
          <w:iCs/>
        </w:rPr>
        <w:lastRenderedPageBreak/>
        <w:t>One plant producing sugar and 1G ethanol from sugar cane juice, and ethanol and animal feed from bagasse – called SM-FF</w:t>
      </w:r>
    </w:p>
    <w:p w:rsidR="00E72FED" w:rsidRPr="00FD3350" w:rsidRDefault="00E72FED" w:rsidP="00E72FED">
      <w:pPr>
        <w:pStyle w:val="Footer"/>
        <w:numPr>
          <w:ilvl w:val="0"/>
          <w:numId w:val="36"/>
        </w:numPr>
        <w:tabs>
          <w:tab w:val="left" w:pos="426"/>
        </w:tabs>
        <w:spacing w:line="360" w:lineRule="auto"/>
        <w:rPr>
          <w:bCs/>
          <w:iCs/>
        </w:rPr>
      </w:pPr>
      <w:r w:rsidRPr="00FD3350">
        <w:rPr>
          <w:bCs/>
          <w:iCs/>
        </w:rPr>
        <w:t>One plant producing only 1G ethanol from sugar cane juice, and only ethanol from bagasse – called ED-OF</w:t>
      </w:r>
    </w:p>
    <w:p w:rsidR="00E72FED" w:rsidRPr="00FD3350" w:rsidRDefault="00E72FED" w:rsidP="00E72FED">
      <w:pPr>
        <w:pStyle w:val="Footer"/>
        <w:numPr>
          <w:ilvl w:val="0"/>
          <w:numId w:val="36"/>
        </w:numPr>
        <w:tabs>
          <w:tab w:val="left" w:pos="426"/>
        </w:tabs>
        <w:spacing w:line="360" w:lineRule="auto"/>
        <w:rPr>
          <w:bCs/>
          <w:iCs/>
        </w:rPr>
      </w:pPr>
      <w:r w:rsidRPr="00FD3350">
        <w:rPr>
          <w:bCs/>
          <w:iCs/>
        </w:rPr>
        <w:t>One plant producing only 1G ethanol from sugar cane juice, and ethanol and animal feed from bagasse – called ED-FF</w:t>
      </w:r>
    </w:p>
    <w:p w:rsidR="00E72FED" w:rsidRPr="00FD3350" w:rsidRDefault="00E72FED" w:rsidP="00E72FED">
      <w:pPr>
        <w:pStyle w:val="Footer"/>
        <w:tabs>
          <w:tab w:val="left" w:pos="426"/>
        </w:tabs>
        <w:spacing w:line="360" w:lineRule="auto"/>
        <w:rPr>
          <w:b/>
          <w:bCs/>
          <w:iCs/>
        </w:rPr>
      </w:pPr>
    </w:p>
    <w:p w:rsidR="00E72FED" w:rsidRPr="00FD3350" w:rsidRDefault="00E72FED" w:rsidP="00E72FED">
      <w:pPr>
        <w:pStyle w:val="Footer"/>
        <w:tabs>
          <w:tab w:val="left" w:pos="426"/>
        </w:tabs>
        <w:spacing w:line="360" w:lineRule="auto"/>
        <w:rPr>
          <w:bCs/>
          <w:i/>
          <w:iCs/>
        </w:rPr>
      </w:pPr>
      <w:r w:rsidRPr="00FD3350">
        <w:rPr>
          <w:bCs/>
          <w:i/>
          <w:iCs/>
        </w:rPr>
        <w:t>Energy independency study</w:t>
      </w:r>
    </w:p>
    <w:p w:rsidR="00E72FED" w:rsidRPr="00FD3350" w:rsidRDefault="00A7330C" w:rsidP="00E72FED">
      <w:pPr>
        <w:pStyle w:val="Footer"/>
        <w:tabs>
          <w:tab w:val="left" w:pos="426"/>
        </w:tabs>
        <w:spacing w:line="360" w:lineRule="auto"/>
        <w:rPr>
          <w:bCs/>
          <w:iCs/>
        </w:rPr>
      </w:pPr>
      <w:r w:rsidRPr="00A7330C">
        <w:rPr>
          <w:bCs/>
          <w:iCs/>
        </w:rPr>
        <w:t xml:space="preserve">In </w:t>
      </w:r>
      <w:r w:rsidR="003673C8">
        <w:rPr>
          <w:bCs/>
          <w:iCs/>
        </w:rPr>
        <w:t>our work</w:t>
      </w:r>
      <w:r w:rsidRPr="00A7330C">
        <w:rPr>
          <w:bCs/>
          <w:iCs/>
        </w:rPr>
        <w:t>, sugarcane bagasse and Green harves</w:t>
      </w:r>
      <w:r>
        <w:rPr>
          <w:bCs/>
          <w:iCs/>
        </w:rPr>
        <w:t>ting residues (GHR) are used to produce heat and power in the cogeneration system</w:t>
      </w:r>
      <w:r w:rsidRPr="00A7330C">
        <w:rPr>
          <w:bCs/>
          <w:iCs/>
        </w:rPr>
        <w:t xml:space="preserve">. However, part of the GHR must be used to regenerate the soil. </w:t>
      </w:r>
      <w:r w:rsidR="003673C8" w:rsidRPr="00FD3350">
        <w:rPr>
          <w:bCs/>
          <w:iCs/>
        </w:rPr>
        <w:t>For one plant integrating 1</w:t>
      </w:r>
      <w:r w:rsidR="003673C8" w:rsidRPr="00FD3350">
        <w:rPr>
          <w:bCs/>
          <w:iCs/>
          <w:vertAlign w:val="superscript"/>
        </w:rPr>
        <w:t>st</w:t>
      </w:r>
      <w:r w:rsidR="003673C8" w:rsidRPr="00FD3350">
        <w:rPr>
          <w:bCs/>
          <w:iCs/>
        </w:rPr>
        <w:t xml:space="preserve"> and 2</w:t>
      </w:r>
      <w:r w:rsidR="003673C8" w:rsidRPr="00FD3350">
        <w:rPr>
          <w:bCs/>
          <w:iCs/>
          <w:vertAlign w:val="superscript"/>
        </w:rPr>
        <w:t>nd</w:t>
      </w:r>
      <w:r w:rsidR="003673C8" w:rsidRPr="00FD3350">
        <w:rPr>
          <w:bCs/>
          <w:iCs/>
        </w:rPr>
        <w:t xml:space="preserve"> generation (namely, the plant ED-FF), several models were assessed</w:t>
      </w:r>
      <w:r w:rsidR="003673C8">
        <w:rPr>
          <w:bCs/>
          <w:iCs/>
        </w:rPr>
        <w:t xml:space="preserve"> </w:t>
      </w:r>
      <w:r w:rsidR="00E72FED" w:rsidRPr="00FD3350">
        <w:rPr>
          <w:bCs/>
          <w:iCs/>
        </w:rPr>
        <w:t>to identify the energy sufficiency point.</w:t>
      </w:r>
      <w:r>
        <w:rPr>
          <w:bCs/>
          <w:iCs/>
        </w:rPr>
        <w:t xml:space="preserve"> So, i</w:t>
      </w:r>
      <w:r w:rsidRPr="00FD3350">
        <w:rPr>
          <w:bCs/>
          <w:iCs/>
        </w:rPr>
        <w:t>n each case the amount</w:t>
      </w:r>
      <w:r w:rsidR="003673C8">
        <w:rPr>
          <w:bCs/>
          <w:iCs/>
        </w:rPr>
        <w:t xml:space="preserve"> of</w:t>
      </w:r>
      <w:r w:rsidRPr="00FD3350">
        <w:rPr>
          <w:bCs/>
          <w:iCs/>
        </w:rPr>
        <w:t xml:space="preserve"> GHR to be used as fuel (cogeneration unit) was changed.</w:t>
      </w:r>
    </w:p>
    <w:p w:rsidR="00E72FED" w:rsidRPr="00FD3350" w:rsidRDefault="00E72FED" w:rsidP="00E72FED">
      <w:pPr>
        <w:pStyle w:val="Footer"/>
        <w:numPr>
          <w:ilvl w:val="0"/>
          <w:numId w:val="35"/>
        </w:numPr>
        <w:tabs>
          <w:tab w:val="left" w:pos="426"/>
        </w:tabs>
        <w:spacing w:line="360" w:lineRule="auto"/>
        <w:rPr>
          <w:bCs/>
          <w:iCs/>
        </w:rPr>
      </w:pPr>
      <w:r w:rsidRPr="00FD3350">
        <w:rPr>
          <w:bCs/>
          <w:iCs/>
        </w:rPr>
        <w:t>A plant using no GHR, but using natural gas instead</w:t>
      </w:r>
    </w:p>
    <w:p w:rsidR="00E72FED" w:rsidRPr="00FD3350" w:rsidRDefault="00E72FED" w:rsidP="00E72FED">
      <w:pPr>
        <w:pStyle w:val="Footer"/>
        <w:numPr>
          <w:ilvl w:val="0"/>
          <w:numId w:val="35"/>
        </w:numPr>
        <w:tabs>
          <w:tab w:val="left" w:pos="426"/>
        </w:tabs>
        <w:spacing w:line="360" w:lineRule="auto"/>
        <w:rPr>
          <w:bCs/>
          <w:iCs/>
        </w:rPr>
      </w:pPr>
      <w:r w:rsidRPr="00FD3350">
        <w:rPr>
          <w:bCs/>
          <w:iCs/>
        </w:rPr>
        <w:t>A plant consuming 41.1% of the available GHR</w:t>
      </w:r>
    </w:p>
    <w:p w:rsidR="00E72FED" w:rsidRPr="00FD3350" w:rsidRDefault="00E72FED" w:rsidP="00E72FED">
      <w:pPr>
        <w:pStyle w:val="Footer"/>
        <w:numPr>
          <w:ilvl w:val="0"/>
          <w:numId w:val="35"/>
        </w:numPr>
        <w:tabs>
          <w:tab w:val="left" w:pos="426"/>
        </w:tabs>
        <w:spacing w:line="360" w:lineRule="auto"/>
        <w:rPr>
          <w:bCs/>
          <w:iCs/>
        </w:rPr>
      </w:pPr>
      <w:r w:rsidRPr="00FD3350">
        <w:rPr>
          <w:bCs/>
          <w:iCs/>
        </w:rPr>
        <w:t>A plant consuming 70% of the available GHR</w:t>
      </w:r>
    </w:p>
    <w:p w:rsidR="00E72FED" w:rsidRPr="00270ED3" w:rsidRDefault="00E72FED" w:rsidP="00E72FED">
      <w:pPr>
        <w:pStyle w:val="Footer"/>
        <w:numPr>
          <w:ilvl w:val="0"/>
          <w:numId w:val="35"/>
        </w:numPr>
        <w:tabs>
          <w:tab w:val="left" w:pos="426"/>
        </w:tabs>
        <w:spacing w:line="360" w:lineRule="auto"/>
        <w:rPr>
          <w:bCs/>
          <w:iCs/>
        </w:rPr>
      </w:pPr>
      <w:r w:rsidRPr="00FD3350">
        <w:rPr>
          <w:bCs/>
          <w:iCs/>
        </w:rPr>
        <w:t>A plant consuming 100% of the available GHR</w:t>
      </w:r>
    </w:p>
    <w:p w:rsidR="00E72FED" w:rsidRPr="00FD3350" w:rsidRDefault="00E72FED" w:rsidP="00E72FED">
      <w:pPr>
        <w:pStyle w:val="Footer"/>
        <w:tabs>
          <w:tab w:val="left" w:pos="426"/>
        </w:tabs>
        <w:spacing w:line="360" w:lineRule="auto"/>
        <w:rPr>
          <w:bCs/>
          <w:i/>
          <w:iCs/>
        </w:rPr>
      </w:pPr>
      <w:r w:rsidRPr="00FD3350">
        <w:rPr>
          <w:bCs/>
          <w:i/>
          <w:iCs/>
        </w:rPr>
        <w:t>Study on the Size of the 2G plant</w:t>
      </w:r>
    </w:p>
    <w:p w:rsidR="00E72FED" w:rsidRPr="00FD3350" w:rsidRDefault="00E72FED" w:rsidP="00E72FED">
      <w:pPr>
        <w:pStyle w:val="Footer"/>
        <w:tabs>
          <w:tab w:val="left" w:pos="426"/>
        </w:tabs>
        <w:spacing w:line="360" w:lineRule="auto"/>
        <w:rPr>
          <w:bCs/>
          <w:iCs/>
        </w:rPr>
      </w:pPr>
      <w:r w:rsidRPr="00FD3350">
        <w:rPr>
          <w:bCs/>
          <w:iCs/>
        </w:rPr>
        <w:t>Two more models were assessed, where the amount of GHR to be used as fuel was fixed at 50% and where the amount of bagasse used for production of 2G bioethanol was changed:</w:t>
      </w:r>
    </w:p>
    <w:p w:rsidR="00E72FED" w:rsidRPr="00FD3350" w:rsidRDefault="00E72FED" w:rsidP="00E72FED">
      <w:pPr>
        <w:pStyle w:val="Footer"/>
        <w:numPr>
          <w:ilvl w:val="0"/>
          <w:numId w:val="38"/>
        </w:numPr>
        <w:tabs>
          <w:tab w:val="left" w:pos="426"/>
        </w:tabs>
        <w:spacing w:line="360" w:lineRule="auto"/>
        <w:rPr>
          <w:bCs/>
          <w:iCs/>
        </w:rPr>
      </w:pPr>
      <w:r w:rsidRPr="00FD3350">
        <w:rPr>
          <w:bCs/>
          <w:iCs/>
        </w:rPr>
        <w:t>57% of bagasse used in ethanol production</w:t>
      </w:r>
    </w:p>
    <w:p w:rsidR="00E72FED" w:rsidRPr="00FD3350" w:rsidRDefault="00E72FED" w:rsidP="00E72FED">
      <w:pPr>
        <w:pStyle w:val="Footer"/>
        <w:numPr>
          <w:ilvl w:val="0"/>
          <w:numId w:val="38"/>
        </w:numPr>
        <w:tabs>
          <w:tab w:val="left" w:pos="426"/>
        </w:tabs>
        <w:spacing w:line="360" w:lineRule="auto"/>
        <w:rPr>
          <w:bCs/>
          <w:iCs/>
        </w:rPr>
      </w:pPr>
      <w:r w:rsidRPr="00FD3350">
        <w:rPr>
          <w:bCs/>
          <w:iCs/>
        </w:rPr>
        <w:t>100% of the bagasse used in ethanol production</w:t>
      </w:r>
    </w:p>
    <w:p w:rsidR="00E72FED" w:rsidRPr="00FD3350" w:rsidRDefault="00E72FED" w:rsidP="00E72FED">
      <w:pPr>
        <w:pStyle w:val="Footer"/>
        <w:tabs>
          <w:tab w:val="left" w:pos="426"/>
        </w:tabs>
        <w:spacing w:line="360" w:lineRule="auto"/>
        <w:rPr>
          <w:bCs/>
          <w:iCs/>
        </w:rPr>
      </w:pPr>
      <w:r w:rsidRPr="00FD3350">
        <w:rPr>
          <w:bCs/>
          <w:iCs/>
        </w:rPr>
        <w:t>Only the first case leads to energy sufficiency.</w:t>
      </w:r>
    </w:p>
    <w:p w:rsidR="00E72FED" w:rsidRPr="00FD3350" w:rsidRDefault="00E72FED" w:rsidP="00E72FED">
      <w:pPr>
        <w:pStyle w:val="Footer"/>
        <w:tabs>
          <w:tab w:val="left" w:pos="426"/>
        </w:tabs>
        <w:spacing w:line="360" w:lineRule="auto"/>
        <w:rPr>
          <w:bCs/>
          <w:i/>
          <w:iCs/>
        </w:rPr>
      </w:pPr>
      <w:r w:rsidRPr="00FD3350">
        <w:rPr>
          <w:bCs/>
          <w:i/>
          <w:iCs/>
        </w:rPr>
        <w:t>Life Cycle Impact Assessment</w:t>
      </w:r>
    </w:p>
    <w:p w:rsidR="00E72FED" w:rsidRPr="00FD3350" w:rsidRDefault="00E72FED" w:rsidP="00E72FED">
      <w:pPr>
        <w:pStyle w:val="Footer"/>
        <w:tabs>
          <w:tab w:val="left" w:pos="426"/>
        </w:tabs>
        <w:spacing w:line="360" w:lineRule="auto"/>
        <w:rPr>
          <w:bCs/>
          <w:iCs/>
        </w:rPr>
      </w:pPr>
      <w:r w:rsidRPr="00FD3350">
        <w:rPr>
          <w:bCs/>
          <w:iCs/>
        </w:rPr>
        <w:t>The work that was reported in D6.200 was refined especially concerning the agricultural phase. The operations that were considered include the following:</w:t>
      </w:r>
    </w:p>
    <w:p w:rsidR="00E72FED" w:rsidRPr="00FD3350" w:rsidRDefault="00E72FED" w:rsidP="00E72FED">
      <w:pPr>
        <w:pStyle w:val="Footer"/>
        <w:numPr>
          <w:ilvl w:val="1"/>
          <w:numId w:val="37"/>
        </w:numPr>
        <w:tabs>
          <w:tab w:val="left" w:pos="426"/>
        </w:tabs>
        <w:spacing w:line="360" w:lineRule="auto"/>
        <w:rPr>
          <w:bCs/>
          <w:iCs/>
        </w:rPr>
      </w:pPr>
      <w:r w:rsidRPr="00FD3350">
        <w:rPr>
          <w:bCs/>
          <w:iCs/>
        </w:rPr>
        <w:t>Field work</w:t>
      </w:r>
    </w:p>
    <w:p w:rsidR="00E72FED" w:rsidRPr="00FD3350" w:rsidRDefault="00E72FED" w:rsidP="00E72FED">
      <w:pPr>
        <w:pStyle w:val="Footer"/>
        <w:numPr>
          <w:ilvl w:val="1"/>
          <w:numId w:val="37"/>
        </w:numPr>
        <w:tabs>
          <w:tab w:val="left" w:pos="426"/>
        </w:tabs>
        <w:spacing w:line="360" w:lineRule="auto"/>
        <w:rPr>
          <w:bCs/>
          <w:iCs/>
        </w:rPr>
      </w:pPr>
      <w:r w:rsidRPr="00FD3350">
        <w:rPr>
          <w:bCs/>
          <w:iCs/>
        </w:rPr>
        <w:t>Production of fertilizers</w:t>
      </w:r>
    </w:p>
    <w:p w:rsidR="00E72FED" w:rsidRPr="00FD3350" w:rsidRDefault="00E72FED" w:rsidP="00E72FED">
      <w:pPr>
        <w:pStyle w:val="Footer"/>
        <w:numPr>
          <w:ilvl w:val="1"/>
          <w:numId w:val="37"/>
        </w:numPr>
        <w:tabs>
          <w:tab w:val="left" w:pos="426"/>
        </w:tabs>
        <w:spacing w:line="360" w:lineRule="auto"/>
        <w:rPr>
          <w:bCs/>
          <w:iCs/>
        </w:rPr>
      </w:pPr>
      <w:r w:rsidRPr="00FD3350">
        <w:rPr>
          <w:bCs/>
          <w:iCs/>
        </w:rPr>
        <w:t>Fertilizers application</w:t>
      </w:r>
    </w:p>
    <w:p w:rsidR="00E72FED" w:rsidRPr="00FD3350" w:rsidRDefault="00E72FED" w:rsidP="00E72FED">
      <w:pPr>
        <w:pStyle w:val="Footer"/>
        <w:numPr>
          <w:ilvl w:val="1"/>
          <w:numId w:val="37"/>
        </w:numPr>
        <w:tabs>
          <w:tab w:val="left" w:pos="426"/>
        </w:tabs>
        <w:spacing w:line="360" w:lineRule="auto"/>
        <w:rPr>
          <w:bCs/>
          <w:iCs/>
        </w:rPr>
      </w:pPr>
      <w:r w:rsidRPr="00FD3350">
        <w:rPr>
          <w:bCs/>
          <w:iCs/>
        </w:rPr>
        <w:lastRenderedPageBreak/>
        <w:t>Plant protection products</w:t>
      </w:r>
    </w:p>
    <w:p w:rsidR="00E72FED" w:rsidRPr="00FD3350" w:rsidRDefault="00E72FED" w:rsidP="00E72FED">
      <w:pPr>
        <w:pStyle w:val="Footer"/>
        <w:numPr>
          <w:ilvl w:val="1"/>
          <w:numId w:val="37"/>
        </w:numPr>
        <w:tabs>
          <w:tab w:val="left" w:pos="426"/>
        </w:tabs>
        <w:spacing w:line="360" w:lineRule="auto"/>
        <w:rPr>
          <w:bCs/>
          <w:iCs/>
        </w:rPr>
      </w:pPr>
      <w:r w:rsidRPr="00FD3350">
        <w:rPr>
          <w:bCs/>
          <w:iCs/>
        </w:rPr>
        <w:t>Transport</w:t>
      </w:r>
    </w:p>
    <w:p w:rsidR="00E72FED" w:rsidRPr="00FD3350" w:rsidRDefault="00E72FED" w:rsidP="00E72FED">
      <w:pPr>
        <w:pStyle w:val="Footer"/>
        <w:numPr>
          <w:ilvl w:val="1"/>
          <w:numId w:val="37"/>
        </w:numPr>
        <w:tabs>
          <w:tab w:val="left" w:pos="426"/>
        </w:tabs>
        <w:spacing w:line="360" w:lineRule="auto"/>
        <w:rPr>
          <w:bCs/>
          <w:iCs/>
        </w:rPr>
      </w:pPr>
      <w:r w:rsidRPr="00FD3350">
        <w:rPr>
          <w:bCs/>
          <w:iCs/>
        </w:rPr>
        <w:t>Cane burning</w:t>
      </w:r>
    </w:p>
    <w:p w:rsidR="00E72FED" w:rsidRPr="00FD3350" w:rsidRDefault="00E72FED" w:rsidP="00E72FED">
      <w:pPr>
        <w:pStyle w:val="Footer"/>
        <w:numPr>
          <w:ilvl w:val="1"/>
          <w:numId w:val="37"/>
        </w:numPr>
        <w:tabs>
          <w:tab w:val="left" w:pos="426"/>
        </w:tabs>
        <w:spacing w:line="360" w:lineRule="auto"/>
        <w:rPr>
          <w:bCs/>
          <w:iCs/>
        </w:rPr>
      </w:pPr>
      <w:r w:rsidRPr="00FD3350">
        <w:rPr>
          <w:bCs/>
          <w:iCs/>
        </w:rPr>
        <w:t>Vinasse spreading</w:t>
      </w:r>
    </w:p>
    <w:p w:rsidR="00E72FED" w:rsidRPr="00FD3350" w:rsidRDefault="00E72FED" w:rsidP="00E72FED">
      <w:pPr>
        <w:pStyle w:val="Footer"/>
        <w:tabs>
          <w:tab w:val="left" w:pos="426"/>
        </w:tabs>
        <w:spacing w:line="360" w:lineRule="auto"/>
        <w:rPr>
          <w:bCs/>
          <w:iCs/>
        </w:rPr>
      </w:pPr>
      <w:r w:rsidRPr="00FD3350">
        <w:rPr>
          <w:bCs/>
          <w:iCs/>
        </w:rPr>
        <w:t>The impacts that were evaluated correspond to the ReCiPe categories:</w:t>
      </w:r>
    </w:p>
    <w:p w:rsidR="00E72FED" w:rsidRPr="00FD3350" w:rsidRDefault="00E72FED" w:rsidP="00E72FED">
      <w:pPr>
        <w:pStyle w:val="Footer"/>
        <w:numPr>
          <w:ilvl w:val="1"/>
          <w:numId w:val="37"/>
        </w:numPr>
        <w:tabs>
          <w:tab w:val="left" w:pos="426"/>
        </w:tabs>
        <w:spacing w:line="360" w:lineRule="auto"/>
        <w:rPr>
          <w:bCs/>
          <w:iCs/>
        </w:rPr>
      </w:pPr>
      <w:r w:rsidRPr="00FD3350">
        <w:rPr>
          <w:bCs/>
          <w:iCs/>
        </w:rPr>
        <w:t>Climate change</w:t>
      </w:r>
    </w:p>
    <w:p w:rsidR="00E72FED" w:rsidRPr="00FD3350" w:rsidRDefault="00E72FED" w:rsidP="00E72FED">
      <w:pPr>
        <w:pStyle w:val="Footer"/>
        <w:numPr>
          <w:ilvl w:val="1"/>
          <w:numId w:val="37"/>
        </w:numPr>
        <w:tabs>
          <w:tab w:val="left" w:pos="426"/>
        </w:tabs>
        <w:spacing w:line="360" w:lineRule="auto"/>
        <w:rPr>
          <w:bCs/>
          <w:iCs/>
        </w:rPr>
      </w:pPr>
      <w:r w:rsidRPr="00FD3350">
        <w:rPr>
          <w:bCs/>
          <w:iCs/>
        </w:rPr>
        <w:t>Fossil depletion</w:t>
      </w:r>
    </w:p>
    <w:p w:rsidR="00E72FED" w:rsidRPr="00FD3350" w:rsidRDefault="00E72FED" w:rsidP="00E72FED">
      <w:pPr>
        <w:pStyle w:val="Footer"/>
        <w:numPr>
          <w:ilvl w:val="1"/>
          <w:numId w:val="37"/>
        </w:numPr>
        <w:tabs>
          <w:tab w:val="left" w:pos="426"/>
        </w:tabs>
        <w:spacing w:line="360" w:lineRule="auto"/>
        <w:rPr>
          <w:bCs/>
          <w:iCs/>
        </w:rPr>
      </w:pPr>
      <w:r w:rsidRPr="00FD3350">
        <w:rPr>
          <w:bCs/>
          <w:iCs/>
        </w:rPr>
        <w:t>Metal depletion</w:t>
      </w:r>
    </w:p>
    <w:p w:rsidR="00E72FED" w:rsidRPr="00FD3350" w:rsidRDefault="00E72FED" w:rsidP="00E72FED">
      <w:pPr>
        <w:pStyle w:val="Footer"/>
        <w:numPr>
          <w:ilvl w:val="1"/>
          <w:numId w:val="37"/>
        </w:numPr>
        <w:tabs>
          <w:tab w:val="left" w:pos="426"/>
        </w:tabs>
        <w:spacing w:line="360" w:lineRule="auto"/>
        <w:rPr>
          <w:bCs/>
          <w:iCs/>
        </w:rPr>
      </w:pPr>
      <w:r w:rsidRPr="00FD3350">
        <w:rPr>
          <w:bCs/>
          <w:iCs/>
        </w:rPr>
        <w:t>Human toxicity</w:t>
      </w:r>
    </w:p>
    <w:p w:rsidR="00E72FED" w:rsidRPr="00FD3350" w:rsidRDefault="00E72FED" w:rsidP="00E72FED">
      <w:pPr>
        <w:pStyle w:val="Footer"/>
        <w:numPr>
          <w:ilvl w:val="1"/>
          <w:numId w:val="37"/>
        </w:numPr>
        <w:tabs>
          <w:tab w:val="left" w:pos="426"/>
        </w:tabs>
        <w:spacing w:line="360" w:lineRule="auto"/>
        <w:rPr>
          <w:bCs/>
          <w:iCs/>
        </w:rPr>
      </w:pPr>
      <w:r w:rsidRPr="00FD3350">
        <w:rPr>
          <w:bCs/>
          <w:iCs/>
        </w:rPr>
        <w:t>Fresh water eco-toxicity</w:t>
      </w:r>
    </w:p>
    <w:p w:rsidR="00E72FED" w:rsidRPr="00FD3350" w:rsidRDefault="00E72FED" w:rsidP="00E72FED">
      <w:pPr>
        <w:pStyle w:val="Footer"/>
        <w:numPr>
          <w:ilvl w:val="1"/>
          <w:numId w:val="37"/>
        </w:numPr>
        <w:tabs>
          <w:tab w:val="left" w:pos="426"/>
        </w:tabs>
        <w:spacing w:line="360" w:lineRule="auto"/>
        <w:rPr>
          <w:bCs/>
          <w:iCs/>
        </w:rPr>
      </w:pPr>
      <w:r w:rsidRPr="00FD3350">
        <w:rPr>
          <w:bCs/>
          <w:iCs/>
        </w:rPr>
        <w:t>Eutrophication</w:t>
      </w:r>
    </w:p>
    <w:p w:rsidR="00E72FED" w:rsidRPr="00FD3350" w:rsidRDefault="00E72FED" w:rsidP="00E72FED">
      <w:pPr>
        <w:pStyle w:val="Footer"/>
        <w:numPr>
          <w:ilvl w:val="1"/>
          <w:numId w:val="37"/>
        </w:numPr>
        <w:tabs>
          <w:tab w:val="left" w:pos="426"/>
        </w:tabs>
        <w:spacing w:line="360" w:lineRule="auto"/>
        <w:rPr>
          <w:bCs/>
          <w:iCs/>
        </w:rPr>
      </w:pPr>
      <w:r w:rsidRPr="00FD3350">
        <w:rPr>
          <w:bCs/>
          <w:iCs/>
        </w:rPr>
        <w:t>Terrestrial acidification</w:t>
      </w:r>
    </w:p>
    <w:p w:rsidR="00E72FED" w:rsidRPr="00FD3350" w:rsidRDefault="00E72FED" w:rsidP="00E72FED">
      <w:pPr>
        <w:pStyle w:val="Footer"/>
        <w:tabs>
          <w:tab w:val="left" w:pos="426"/>
        </w:tabs>
        <w:spacing w:line="360" w:lineRule="auto"/>
        <w:rPr>
          <w:b/>
          <w:bCs/>
          <w:iCs/>
        </w:rPr>
      </w:pPr>
    </w:p>
    <w:p w:rsidR="00E72FED" w:rsidRPr="00FD3350" w:rsidRDefault="00E72FED" w:rsidP="00E72FED">
      <w:pPr>
        <w:pStyle w:val="Footer"/>
        <w:tabs>
          <w:tab w:val="left" w:pos="426"/>
        </w:tabs>
        <w:spacing w:line="360" w:lineRule="auto"/>
        <w:rPr>
          <w:bCs/>
          <w:i/>
          <w:iCs/>
        </w:rPr>
      </w:pPr>
      <w:r w:rsidRPr="00FD3350">
        <w:rPr>
          <w:bCs/>
          <w:i/>
          <w:iCs/>
        </w:rPr>
        <w:t>Case of no field burning</w:t>
      </w:r>
    </w:p>
    <w:p w:rsidR="00E72FED" w:rsidRPr="00270ED3" w:rsidRDefault="00E72FED" w:rsidP="00E72FED">
      <w:pPr>
        <w:pStyle w:val="Footer"/>
        <w:numPr>
          <w:ilvl w:val="0"/>
          <w:numId w:val="37"/>
        </w:numPr>
        <w:tabs>
          <w:tab w:val="left" w:pos="426"/>
        </w:tabs>
        <w:spacing w:line="360" w:lineRule="auto"/>
        <w:rPr>
          <w:bCs/>
          <w:iCs/>
        </w:rPr>
      </w:pPr>
      <w:r w:rsidRPr="00FD3350">
        <w:rPr>
          <w:bCs/>
          <w:iCs/>
        </w:rPr>
        <w:t>Some ReCiPe categories were also evaluated for the case of Agricultural operations without field burning.</w:t>
      </w:r>
    </w:p>
    <w:p w:rsidR="00E72FED" w:rsidRPr="00FD3350" w:rsidRDefault="00E72FED" w:rsidP="00E72FED">
      <w:pPr>
        <w:pStyle w:val="Footer"/>
        <w:tabs>
          <w:tab w:val="left" w:pos="426"/>
        </w:tabs>
        <w:spacing w:line="360" w:lineRule="auto"/>
        <w:rPr>
          <w:bCs/>
          <w:iCs/>
          <w:u w:val="single"/>
        </w:rPr>
      </w:pPr>
      <w:r w:rsidRPr="00FD3350">
        <w:rPr>
          <w:bCs/>
          <w:iCs/>
          <w:u w:val="single"/>
        </w:rPr>
        <w:t>LCA of the whole process</w:t>
      </w:r>
    </w:p>
    <w:p w:rsidR="00E72FED" w:rsidRPr="00FD3350" w:rsidRDefault="00E72FED" w:rsidP="00E72FED">
      <w:pPr>
        <w:pStyle w:val="Footer"/>
        <w:tabs>
          <w:tab w:val="left" w:pos="426"/>
        </w:tabs>
        <w:spacing w:line="360" w:lineRule="auto"/>
        <w:rPr>
          <w:bCs/>
          <w:iCs/>
        </w:rPr>
      </w:pPr>
      <w:r w:rsidRPr="00FD3350">
        <w:rPr>
          <w:bCs/>
          <w:iCs/>
        </w:rPr>
        <w:t xml:space="preserve">For the case of the </w:t>
      </w:r>
      <w:r w:rsidRPr="00FD3350">
        <w:rPr>
          <w:bCs/>
          <w:i/>
          <w:iCs/>
        </w:rPr>
        <w:t xml:space="preserve">Sugar Mill integrated </w:t>
      </w:r>
      <w:r>
        <w:rPr>
          <w:bCs/>
          <w:i/>
          <w:iCs/>
        </w:rPr>
        <w:t>with</w:t>
      </w:r>
      <w:r w:rsidRPr="00FD3350">
        <w:rPr>
          <w:bCs/>
          <w:i/>
          <w:iCs/>
        </w:rPr>
        <w:t xml:space="preserve"> the Second generation Feed and Fuel production</w:t>
      </w:r>
      <w:r w:rsidRPr="00FD3350">
        <w:rPr>
          <w:bCs/>
          <w:iCs/>
        </w:rPr>
        <w:t xml:space="preserve"> scenario (SM – FF), several impact categories were evaluated for each product. The categories include:</w:t>
      </w:r>
    </w:p>
    <w:p w:rsidR="00E72FED" w:rsidRPr="00FD3350" w:rsidRDefault="00E72FED" w:rsidP="00E72FED">
      <w:pPr>
        <w:pStyle w:val="Footer"/>
        <w:numPr>
          <w:ilvl w:val="0"/>
          <w:numId w:val="37"/>
        </w:numPr>
        <w:tabs>
          <w:tab w:val="left" w:pos="426"/>
        </w:tabs>
        <w:spacing w:line="360" w:lineRule="auto"/>
        <w:rPr>
          <w:bCs/>
          <w:iCs/>
        </w:rPr>
      </w:pPr>
      <w:r w:rsidRPr="00FD3350">
        <w:rPr>
          <w:bCs/>
          <w:iCs/>
        </w:rPr>
        <w:t>Climate change impacts</w:t>
      </w:r>
    </w:p>
    <w:p w:rsidR="00E72FED" w:rsidRPr="00FD3350" w:rsidRDefault="00E72FED" w:rsidP="00E72FED">
      <w:pPr>
        <w:pStyle w:val="Footer"/>
        <w:numPr>
          <w:ilvl w:val="0"/>
          <w:numId w:val="37"/>
        </w:numPr>
        <w:tabs>
          <w:tab w:val="left" w:pos="426"/>
        </w:tabs>
        <w:spacing w:line="360" w:lineRule="auto"/>
        <w:rPr>
          <w:bCs/>
          <w:iCs/>
        </w:rPr>
      </w:pPr>
      <w:r w:rsidRPr="00FD3350">
        <w:rPr>
          <w:bCs/>
          <w:iCs/>
        </w:rPr>
        <w:t>Fossil depletion impacts</w:t>
      </w:r>
    </w:p>
    <w:p w:rsidR="00E72FED" w:rsidRPr="00FD3350" w:rsidRDefault="00E72FED" w:rsidP="00E72FED">
      <w:pPr>
        <w:pStyle w:val="Footer"/>
        <w:numPr>
          <w:ilvl w:val="0"/>
          <w:numId w:val="37"/>
        </w:numPr>
        <w:tabs>
          <w:tab w:val="left" w:pos="426"/>
        </w:tabs>
        <w:spacing w:line="360" w:lineRule="auto"/>
        <w:rPr>
          <w:bCs/>
          <w:iCs/>
        </w:rPr>
      </w:pPr>
      <w:r w:rsidRPr="00FD3350">
        <w:rPr>
          <w:bCs/>
          <w:iCs/>
        </w:rPr>
        <w:t>Human toxicity Impacts</w:t>
      </w:r>
    </w:p>
    <w:p w:rsidR="00E72FED" w:rsidRPr="00FD3350" w:rsidRDefault="00E72FED" w:rsidP="00E72FED">
      <w:pPr>
        <w:pStyle w:val="Footer"/>
        <w:numPr>
          <w:ilvl w:val="0"/>
          <w:numId w:val="37"/>
        </w:numPr>
        <w:tabs>
          <w:tab w:val="left" w:pos="426"/>
        </w:tabs>
        <w:spacing w:line="360" w:lineRule="auto"/>
        <w:rPr>
          <w:bCs/>
          <w:iCs/>
        </w:rPr>
      </w:pPr>
      <w:r w:rsidRPr="00FD3350">
        <w:rPr>
          <w:bCs/>
          <w:iCs/>
        </w:rPr>
        <w:t>Eutrophication impacts</w:t>
      </w:r>
    </w:p>
    <w:p w:rsidR="00E72FED" w:rsidRPr="00FD3350" w:rsidRDefault="00E72FED" w:rsidP="00E72FED">
      <w:pPr>
        <w:pStyle w:val="Footer"/>
        <w:numPr>
          <w:ilvl w:val="0"/>
          <w:numId w:val="37"/>
        </w:numPr>
        <w:tabs>
          <w:tab w:val="left" w:pos="426"/>
        </w:tabs>
        <w:spacing w:line="360" w:lineRule="auto"/>
        <w:rPr>
          <w:bCs/>
          <w:iCs/>
        </w:rPr>
      </w:pPr>
      <w:r w:rsidRPr="00FD3350">
        <w:rPr>
          <w:bCs/>
          <w:iCs/>
        </w:rPr>
        <w:t>Fresh water eco-toxicity impacts</w:t>
      </w:r>
    </w:p>
    <w:p w:rsidR="00E72FED" w:rsidRPr="00FD3350" w:rsidRDefault="00E72FED" w:rsidP="00E72FED">
      <w:pPr>
        <w:pStyle w:val="Footer"/>
        <w:tabs>
          <w:tab w:val="left" w:pos="426"/>
        </w:tabs>
        <w:spacing w:line="360" w:lineRule="auto"/>
        <w:rPr>
          <w:bCs/>
          <w:iCs/>
        </w:rPr>
      </w:pPr>
      <w:r w:rsidRPr="00FD3350">
        <w:rPr>
          <w:bCs/>
          <w:iCs/>
        </w:rPr>
        <w:t>The products that were evaluated, and compared to reference cases, are:</w:t>
      </w:r>
    </w:p>
    <w:p w:rsidR="00E72FED" w:rsidRPr="00FD3350" w:rsidRDefault="00E72FED" w:rsidP="00E72FED">
      <w:pPr>
        <w:pStyle w:val="Footer"/>
        <w:numPr>
          <w:ilvl w:val="0"/>
          <w:numId w:val="37"/>
        </w:numPr>
        <w:tabs>
          <w:tab w:val="left" w:pos="426"/>
        </w:tabs>
        <w:spacing w:line="360" w:lineRule="auto"/>
        <w:rPr>
          <w:bCs/>
          <w:iCs/>
        </w:rPr>
      </w:pPr>
      <w:r w:rsidRPr="00FD3350">
        <w:rPr>
          <w:bCs/>
          <w:iCs/>
        </w:rPr>
        <w:t>Sugar</w:t>
      </w:r>
    </w:p>
    <w:p w:rsidR="00E72FED" w:rsidRPr="00FD3350" w:rsidRDefault="00E72FED" w:rsidP="00E72FED">
      <w:pPr>
        <w:pStyle w:val="Footer"/>
        <w:numPr>
          <w:ilvl w:val="0"/>
          <w:numId w:val="37"/>
        </w:numPr>
        <w:tabs>
          <w:tab w:val="left" w:pos="426"/>
        </w:tabs>
        <w:spacing w:line="360" w:lineRule="auto"/>
        <w:rPr>
          <w:bCs/>
          <w:iCs/>
        </w:rPr>
      </w:pPr>
      <w:r w:rsidRPr="00FD3350">
        <w:rPr>
          <w:bCs/>
          <w:iCs/>
        </w:rPr>
        <w:lastRenderedPageBreak/>
        <w:t>Ethanol E 85</w:t>
      </w:r>
    </w:p>
    <w:p w:rsidR="00E72FED" w:rsidRPr="00FD3350" w:rsidRDefault="00E72FED" w:rsidP="00E72FED">
      <w:pPr>
        <w:pStyle w:val="Footer"/>
        <w:numPr>
          <w:ilvl w:val="0"/>
          <w:numId w:val="37"/>
        </w:numPr>
        <w:tabs>
          <w:tab w:val="left" w:pos="426"/>
        </w:tabs>
        <w:spacing w:line="360" w:lineRule="auto"/>
        <w:rPr>
          <w:bCs/>
          <w:iCs/>
        </w:rPr>
      </w:pPr>
      <w:r w:rsidRPr="00FD3350">
        <w:rPr>
          <w:bCs/>
          <w:iCs/>
        </w:rPr>
        <w:t>Electricity</w:t>
      </w:r>
    </w:p>
    <w:p w:rsidR="00E72FED" w:rsidRPr="00FD3350" w:rsidRDefault="00E72FED" w:rsidP="00E72FED">
      <w:pPr>
        <w:pStyle w:val="Footer"/>
        <w:numPr>
          <w:ilvl w:val="0"/>
          <w:numId w:val="37"/>
        </w:numPr>
        <w:tabs>
          <w:tab w:val="left" w:pos="426"/>
        </w:tabs>
        <w:spacing w:line="360" w:lineRule="auto"/>
        <w:rPr>
          <w:bCs/>
          <w:iCs/>
        </w:rPr>
      </w:pPr>
      <w:r w:rsidRPr="00FD3350">
        <w:rPr>
          <w:bCs/>
          <w:iCs/>
        </w:rPr>
        <w:t>Feed product</w:t>
      </w:r>
    </w:p>
    <w:p w:rsidR="00E72FED" w:rsidRPr="00FD3350" w:rsidRDefault="00E72FED" w:rsidP="00E72FED">
      <w:pPr>
        <w:pStyle w:val="Footer"/>
        <w:tabs>
          <w:tab w:val="left" w:pos="426"/>
        </w:tabs>
        <w:spacing w:line="360" w:lineRule="auto"/>
        <w:rPr>
          <w:bCs/>
          <w:iCs/>
        </w:rPr>
      </w:pPr>
      <w:r w:rsidRPr="00FD3350">
        <w:rPr>
          <w:bCs/>
          <w:iCs/>
        </w:rPr>
        <w:t>Finally, the operations that were considered include (besides the Agricultural operations):</w:t>
      </w:r>
    </w:p>
    <w:p w:rsidR="00E72FED" w:rsidRPr="00FD3350" w:rsidRDefault="00E72FED" w:rsidP="00E72FED">
      <w:pPr>
        <w:pStyle w:val="Footer"/>
        <w:numPr>
          <w:ilvl w:val="0"/>
          <w:numId w:val="37"/>
        </w:numPr>
        <w:tabs>
          <w:tab w:val="left" w:pos="426"/>
        </w:tabs>
        <w:spacing w:line="360" w:lineRule="auto"/>
        <w:rPr>
          <w:bCs/>
          <w:iCs/>
        </w:rPr>
      </w:pPr>
      <w:r w:rsidRPr="00FD3350">
        <w:rPr>
          <w:bCs/>
          <w:iCs/>
        </w:rPr>
        <w:t>Transport of raw materials</w:t>
      </w:r>
    </w:p>
    <w:p w:rsidR="00E72FED" w:rsidRPr="0030641E" w:rsidRDefault="00E72FED" w:rsidP="00E72FED">
      <w:pPr>
        <w:pStyle w:val="Footer"/>
        <w:numPr>
          <w:ilvl w:val="0"/>
          <w:numId w:val="37"/>
        </w:numPr>
        <w:tabs>
          <w:tab w:val="left" w:pos="426"/>
        </w:tabs>
        <w:spacing w:line="360" w:lineRule="auto"/>
        <w:rPr>
          <w:bCs/>
          <w:iCs/>
        </w:rPr>
      </w:pPr>
      <w:r w:rsidRPr="00FD3350">
        <w:rPr>
          <w:bCs/>
          <w:iCs/>
        </w:rPr>
        <w:t>Biorefinery</w:t>
      </w:r>
    </w:p>
    <w:p w:rsidR="00E72FED" w:rsidRDefault="00E72FED" w:rsidP="00E72FED">
      <w:pPr>
        <w:pStyle w:val="Heading2"/>
        <w:spacing w:line="360" w:lineRule="auto"/>
      </w:pPr>
    </w:p>
    <w:p w:rsidR="00E72FED" w:rsidRDefault="00E72FED" w:rsidP="00E72FED">
      <w:pPr>
        <w:pStyle w:val="Heading2"/>
        <w:spacing w:line="360" w:lineRule="auto"/>
      </w:pPr>
      <w:bookmarkStart w:id="17" w:name="_Toc420667400"/>
      <w:r>
        <w:t>Selected Results</w:t>
      </w:r>
      <w:bookmarkEnd w:id="17"/>
    </w:p>
    <w:p w:rsidR="00E72FED" w:rsidRDefault="00E72FED" w:rsidP="00E72FED">
      <w:pPr>
        <w:pStyle w:val="Footer"/>
        <w:tabs>
          <w:tab w:val="left" w:pos="426"/>
        </w:tabs>
        <w:spacing w:line="360" w:lineRule="auto"/>
        <w:rPr>
          <w:bCs/>
          <w:iCs/>
        </w:rPr>
      </w:pPr>
      <w:r>
        <w:rPr>
          <w:bCs/>
          <w:iCs/>
        </w:rPr>
        <w:t xml:space="preserve">The </w:t>
      </w:r>
      <w:r w:rsidRPr="00236F8D">
        <w:rPr>
          <w:bCs/>
          <w:iCs/>
        </w:rPr>
        <w:t xml:space="preserve">production of 2G bio-ethanol in a stand-alone biorefinery was evaluated by process simulation using different kinds of feedstock. Four scenarios were simulated in Aspen Plus feeding the 2G-plant with sugar cane bagasse or wheat straw. Table </w:t>
      </w:r>
      <w:r w:rsidRPr="0030641E">
        <w:rPr>
          <w:bCs/>
          <w:iCs/>
        </w:rPr>
        <w:t>1</w:t>
      </w:r>
      <w:r w:rsidRPr="00236F8D">
        <w:rPr>
          <w:bCs/>
          <w:iCs/>
        </w:rPr>
        <w:t xml:space="preserve"> shows the composition of both kind of biomass in dry basis (d.b.). Regarding the biorefinery results, sugarcane bagasse showed higher performance than wheat straw for the 2G-ethanol production (Table </w:t>
      </w:r>
      <w:r w:rsidRPr="0030641E">
        <w:rPr>
          <w:bCs/>
          <w:iCs/>
        </w:rPr>
        <w:t>2</w:t>
      </w:r>
      <w:r w:rsidRPr="00236F8D">
        <w:rPr>
          <w:bCs/>
          <w:iCs/>
        </w:rPr>
        <w:t xml:space="preserve">).  This is due to the higher amount of C6 sugars (cellulose, sucrose and glucose) contained in the bagasse that can be fermented into ethanol (see Table </w:t>
      </w:r>
      <w:r w:rsidRPr="0030641E">
        <w:rPr>
          <w:bCs/>
          <w:iCs/>
        </w:rPr>
        <w:t>1</w:t>
      </w:r>
      <w:r w:rsidRPr="00236F8D">
        <w:rPr>
          <w:bCs/>
          <w:iCs/>
        </w:rPr>
        <w:t xml:space="preserve">). However, this difference is not very significant comparing to that obtained selecting a different configuration for the process. As shown in Table 2, the ethanol production is higher when fermenting both hexoses and pentoses in the –OF scenarios (ca. 60% of ethanol increases production) than just hexoses in the –FF scenarios.    </w:t>
      </w:r>
    </w:p>
    <w:p w:rsidR="00E72FED" w:rsidRPr="00236F8D" w:rsidRDefault="00E72FED" w:rsidP="00E72FED">
      <w:pPr>
        <w:pStyle w:val="Footer"/>
        <w:tabs>
          <w:tab w:val="left" w:pos="426"/>
        </w:tabs>
        <w:spacing w:line="360" w:lineRule="auto"/>
        <w:rPr>
          <w:bCs/>
          <w:iCs/>
        </w:rPr>
      </w:pPr>
      <w:r w:rsidRPr="00236F8D">
        <w:rPr>
          <w:bCs/>
          <w:iCs/>
        </w:rPr>
        <w:t xml:space="preserve">Table </w:t>
      </w:r>
      <w:r w:rsidRPr="0030641E">
        <w:rPr>
          <w:bCs/>
          <w:iCs/>
        </w:rPr>
        <w:t xml:space="preserve">1 </w:t>
      </w:r>
      <w:r w:rsidRPr="00236F8D">
        <w:rPr>
          <w:bCs/>
          <w:iCs/>
        </w:rPr>
        <w:t>Base-case biomass compositions for wheat straw and sugarcane bagasse.</w:t>
      </w:r>
    </w:p>
    <w:tbl>
      <w:tblPr>
        <w:tblW w:w="3953" w:type="dxa"/>
        <w:jc w:val="center"/>
        <w:tblCellMar>
          <w:left w:w="70" w:type="dxa"/>
          <w:right w:w="70" w:type="dxa"/>
        </w:tblCellMar>
        <w:tblLook w:val="04A0" w:firstRow="1" w:lastRow="0" w:firstColumn="1" w:lastColumn="0" w:noHBand="0" w:noVBand="1"/>
      </w:tblPr>
      <w:tblGrid>
        <w:gridCol w:w="1057"/>
        <w:gridCol w:w="1173"/>
        <w:gridCol w:w="1723"/>
      </w:tblGrid>
      <w:tr w:rsidR="00E72FED" w:rsidRPr="00236F8D" w:rsidTr="00975744">
        <w:trPr>
          <w:trHeight w:val="300"/>
          <w:jc w:val="center"/>
        </w:trPr>
        <w:tc>
          <w:tcPr>
            <w:tcW w:w="1057" w:type="dxa"/>
            <w:tcBorders>
              <w:top w:val="nil"/>
              <w:left w:val="nil"/>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b/>
                <w:sz w:val="16"/>
                <w:szCs w:val="16"/>
                <w:lang w:eastAsia="fr-CH"/>
              </w:rPr>
            </w:pPr>
          </w:p>
        </w:tc>
        <w:tc>
          <w:tcPr>
            <w:tcW w:w="28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b/>
                <w:color w:val="000000"/>
                <w:sz w:val="16"/>
                <w:szCs w:val="16"/>
                <w:lang w:val="fr-CH" w:eastAsia="fr-CH"/>
              </w:rPr>
            </w:pPr>
            <w:r w:rsidRPr="0030641E">
              <w:rPr>
                <w:rFonts w:ascii="Times New Roman" w:eastAsia="Times New Roman" w:hAnsi="Times New Roman"/>
                <w:b/>
                <w:color w:val="000000"/>
                <w:sz w:val="16"/>
                <w:szCs w:val="16"/>
                <w:lang w:val="fr-CH" w:eastAsia="fr-CH"/>
              </w:rPr>
              <w:t>% mass composition</w:t>
            </w:r>
            <w:r w:rsidRPr="00236F8D">
              <w:rPr>
                <w:rFonts w:ascii="Times New Roman" w:eastAsia="Times New Roman" w:hAnsi="Times New Roman"/>
                <w:b/>
                <w:color w:val="000000"/>
                <w:sz w:val="16"/>
                <w:szCs w:val="16"/>
                <w:lang w:val="fr-CH" w:eastAsia="fr-CH"/>
              </w:rPr>
              <w:t xml:space="preserve"> (d.b.)</w:t>
            </w:r>
          </w:p>
        </w:tc>
      </w:tr>
      <w:tr w:rsidR="00E72FED" w:rsidRPr="00236F8D" w:rsidTr="00975744">
        <w:trPr>
          <w:trHeight w:val="300"/>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b/>
                <w:color w:val="000000"/>
                <w:sz w:val="16"/>
                <w:szCs w:val="16"/>
                <w:lang w:val="fr-CH" w:eastAsia="fr-CH"/>
              </w:rPr>
            </w:pPr>
            <w:r w:rsidRPr="0030641E">
              <w:rPr>
                <w:rFonts w:ascii="Times New Roman" w:eastAsia="Times New Roman" w:hAnsi="Times New Roman"/>
                <w:b/>
                <w:color w:val="000000"/>
                <w:sz w:val="16"/>
                <w:szCs w:val="16"/>
                <w:lang w:val="fr-CH" w:eastAsia="fr-CH"/>
              </w:rPr>
              <w:t>Component</w:t>
            </w:r>
          </w:p>
        </w:tc>
        <w:tc>
          <w:tcPr>
            <w:tcW w:w="1173" w:type="dxa"/>
            <w:tcBorders>
              <w:top w:val="nil"/>
              <w:left w:val="nil"/>
              <w:bottom w:val="single" w:sz="4" w:space="0" w:color="auto"/>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b/>
                <w:color w:val="000000"/>
                <w:sz w:val="16"/>
                <w:szCs w:val="16"/>
                <w:lang w:val="fr-CH" w:eastAsia="fr-CH"/>
              </w:rPr>
            </w:pPr>
            <w:r w:rsidRPr="0030641E">
              <w:rPr>
                <w:rFonts w:ascii="Times New Roman" w:eastAsia="Times New Roman" w:hAnsi="Times New Roman"/>
                <w:b/>
                <w:color w:val="000000"/>
                <w:sz w:val="16"/>
                <w:szCs w:val="16"/>
                <w:lang w:val="fr-CH" w:eastAsia="fr-CH"/>
              </w:rPr>
              <w:t>Wheat Straw</w:t>
            </w:r>
          </w:p>
        </w:tc>
        <w:tc>
          <w:tcPr>
            <w:tcW w:w="1723" w:type="dxa"/>
            <w:tcBorders>
              <w:top w:val="nil"/>
              <w:left w:val="nil"/>
              <w:bottom w:val="single" w:sz="4" w:space="0" w:color="auto"/>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b/>
                <w:color w:val="000000"/>
                <w:sz w:val="16"/>
                <w:szCs w:val="16"/>
                <w:lang w:val="fr-CH" w:eastAsia="fr-CH"/>
              </w:rPr>
            </w:pPr>
            <w:r w:rsidRPr="0030641E">
              <w:rPr>
                <w:rFonts w:ascii="Times New Roman" w:eastAsia="Times New Roman" w:hAnsi="Times New Roman"/>
                <w:b/>
                <w:color w:val="000000"/>
                <w:sz w:val="16"/>
                <w:szCs w:val="16"/>
                <w:lang w:val="fr-CH" w:eastAsia="fr-CH"/>
              </w:rPr>
              <w:t>Sugarcane Bagasse</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Glucose</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0.0</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0.2</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Sucrose</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0.0</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5.5</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Extract</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9.8</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4.4</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Cellulose</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38.1</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39.1</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Galactan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0.7</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0.6</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Mannan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0.3</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0.3</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Xylan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19.2</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20.7</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Arabinan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2.3</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1.7</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Lignin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18.0</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23.4</w:t>
            </w:r>
          </w:p>
        </w:tc>
      </w:tr>
      <w:tr w:rsidR="00E72FED" w:rsidRPr="00236F8D" w:rsidTr="00975744">
        <w:trPr>
          <w:trHeight w:val="300"/>
          <w:jc w:val="center"/>
        </w:trPr>
        <w:tc>
          <w:tcPr>
            <w:tcW w:w="1057" w:type="dxa"/>
            <w:tcBorders>
              <w:top w:val="nil"/>
              <w:left w:val="single" w:sz="4" w:space="0" w:color="auto"/>
              <w:bottom w:val="nil"/>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Protein</w:t>
            </w:r>
          </w:p>
        </w:tc>
        <w:tc>
          <w:tcPr>
            <w:tcW w:w="1173" w:type="dxa"/>
            <w:tcBorders>
              <w:top w:val="nil"/>
              <w:left w:val="single" w:sz="4" w:space="0" w:color="auto"/>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4.5</w:t>
            </w:r>
          </w:p>
        </w:tc>
        <w:tc>
          <w:tcPr>
            <w:tcW w:w="1723" w:type="dxa"/>
            <w:tcBorders>
              <w:top w:val="nil"/>
              <w:left w:val="nil"/>
              <w:bottom w:val="nil"/>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0.0</w:t>
            </w:r>
          </w:p>
        </w:tc>
      </w:tr>
      <w:tr w:rsidR="00E72FED" w:rsidRPr="00236F8D" w:rsidTr="00975744">
        <w:trPr>
          <w:trHeight w:val="300"/>
          <w:jc w:val="center"/>
        </w:trPr>
        <w:tc>
          <w:tcPr>
            <w:tcW w:w="1057" w:type="dxa"/>
            <w:tcBorders>
              <w:top w:val="nil"/>
              <w:left w:val="single" w:sz="4" w:space="0" w:color="auto"/>
              <w:bottom w:val="single" w:sz="4" w:space="0" w:color="auto"/>
              <w:right w:val="nil"/>
            </w:tcBorders>
            <w:shd w:val="clear" w:color="auto" w:fill="auto"/>
            <w:noWrap/>
            <w:vAlign w:val="center"/>
            <w:hideMark/>
          </w:tcPr>
          <w:p w:rsidR="00E72FED" w:rsidRPr="0030641E" w:rsidRDefault="00E72FED" w:rsidP="00975744">
            <w:pPr>
              <w:spacing w:after="0" w:line="360" w:lineRule="auto"/>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Ash</w:t>
            </w:r>
          </w:p>
        </w:tc>
        <w:tc>
          <w:tcPr>
            <w:tcW w:w="1173" w:type="dxa"/>
            <w:tcBorders>
              <w:top w:val="nil"/>
              <w:left w:val="single" w:sz="4" w:space="0" w:color="auto"/>
              <w:bottom w:val="single" w:sz="4" w:space="0" w:color="auto"/>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7.0</w:t>
            </w:r>
          </w:p>
        </w:tc>
        <w:tc>
          <w:tcPr>
            <w:tcW w:w="1723" w:type="dxa"/>
            <w:tcBorders>
              <w:top w:val="nil"/>
              <w:left w:val="nil"/>
              <w:bottom w:val="single" w:sz="4" w:space="0" w:color="auto"/>
              <w:right w:val="single" w:sz="4" w:space="0" w:color="auto"/>
            </w:tcBorders>
            <w:shd w:val="clear" w:color="auto" w:fill="auto"/>
            <w:noWrap/>
            <w:vAlign w:val="center"/>
            <w:hideMark/>
          </w:tcPr>
          <w:p w:rsidR="00E72FED" w:rsidRPr="0030641E" w:rsidRDefault="00E72FED" w:rsidP="00975744">
            <w:pPr>
              <w:spacing w:after="0" w:line="360" w:lineRule="auto"/>
              <w:jc w:val="center"/>
              <w:rPr>
                <w:rFonts w:ascii="Times New Roman" w:eastAsia="Times New Roman" w:hAnsi="Times New Roman"/>
                <w:color w:val="000000"/>
                <w:sz w:val="16"/>
                <w:szCs w:val="16"/>
                <w:lang w:val="fr-CH" w:eastAsia="fr-CH"/>
              </w:rPr>
            </w:pPr>
            <w:r w:rsidRPr="0030641E">
              <w:rPr>
                <w:rFonts w:ascii="Times New Roman" w:eastAsia="Times New Roman" w:hAnsi="Times New Roman"/>
                <w:color w:val="000000"/>
                <w:sz w:val="16"/>
                <w:szCs w:val="16"/>
                <w:lang w:val="fr-CH" w:eastAsia="fr-CH"/>
              </w:rPr>
              <w:t>4.1</w:t>
            </w:r>
          </w:p>
        </w:tc>
      </w:tr>
    </w:tbl>
    <w:p w:rsidR="00E72FED" w:rsidRDefault="00E72FED" w:rsidP="00E72FED">
      <w:pPr>
        <w:pStyle w:val="Footer"/>
        <w:tabs>
          <w:tab w:val="left" w:pos="426"/>
        </w:tabs>
        <w:spacing w:line="360" w:lineRule="auto"/>
        <w:rPr>
          <w:bCs/>
          <w:iCs/>
        </w:rPr>
      </w:pPr>
    </w:p>
    <w:p w:rsidR="00E72FED" w:rsidRPr="00236F8D" w:rsidRDefault="00E72FED" w:rsidP="00E72FED">
      <w:pPr>
        <w:pStyle w:val="Footer"/>
        <w:tabs>
          <w:tab w:val="left" w:pos="426"/>
        </w:tabs>
        <w:spacing w:line="360" w:lineRule="auto"/>
        <w:rPr>
          <w:bCs/>
          <w:iCs/>
        </w:rPr>
      </w:pPr>
      <w:r w:rsidRPr="00236F8D">
        <w:rPr>
          <w:bCs/>
          <w:iCs/>
        </w:rPr>
        <w:t>Table 2. Mass ratio for the conversion of feedstock (sugarcane bagasse or wheat straw) into bio-ethanol.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05"/>
        <w:gridCol w:w="1914"/>
      </w:tblGrid>
      <w:tr w:rsidR="00A221C3" w:rsidRPr="00236F8D" w:rsidTr="00975744">
        <w:trPr>
          <w:trHeight w:val="300"/>
          <w:jc w:val="center"/>
        </w:trPr>
        <w:tc>
          <w:tcPr>
            <w:tcW w:w="0" w:type="auto"/>
            <w:vMerge w:val="restart"/>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rPr>
              <w:lastRenderedPageBreak/>
              <w:t>Pathway</w:t>
            </w: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
                <w:bCs/>
                <w:iCs/>
                <w:sz w:val="16"/>
                <w:szCs w:val="16"/>
              </w:rPr>
              <w:t>Ethanol</w:t>
            </w:r>
          </w:p>
        </w:tc>
      </w:tr>
      <w:tr w:rsidR="00A221C3" w:rsidRPr="00236F8D" w:rsidTr="00975744">
        <w:trPr>
          <w:trHeight w:val="315"/>
          <w:jc w:val="center"/>
        </w:trPr>
        <w:tc>
          <w:tcPr>
            <w:tcW w:w="0" w:type="auto"/>
            <w:vMerge/>
            <w:shd w:val="clear" w:color="auto" w:fill="FFFFFF" w:themeFill="background1"/>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rPr>
              <w:t>kg EtOH/ton biomass (d.b.)</w:t>
            </w:r>
          </w:p>
        </w:tc>
      </w:tr>
      <w:tr w:rsidR="00A221C3" w:rsidRPr="00236F8D"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rPr>
              <w:t xml:space="preserve">Bagasse FF </w:t>
            </w: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rPr>
              <w:t>177.6</w:t>
            </w:r>
          </w:p>
        </w:tc>
      </w:tr>
      <w:tr w:rsidR="00A221C3" w:rsidRPr="00236F8D"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rPr>
              <w:t xml:space="preserve">Bagasse OF </w:t>
            </w: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rPr>
              <w:t>296.7</w:t>
            </w:r>
          </w:p>
        </w:tc>
      </w:tr>
      <w:tr w:rsidR="00A221C3" w:rsidRPr="00236F8D"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rPr>
              <w:t>Wh</w:t>
            </w:r>
            <w:r w:rsidRPr="0030641E">
              <w:rPr>
                <w:rFonts w:ascii="Times New Roman" w:hAnsi="Times New Roman"/>
                <w:b/>
                <w:bCs/>
                <w:iCs/>
                <w:sz w:val="16"/>
                <w:szCs w:val="16"/>
                <w:lang w:val="fr-CH"/>
              </w:rPr>
              <w:t xml:space="preserve">eat Straw FF </w:t>
            </w: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172.3</w:t>
            </w:r>
          </w:p>
        </w:tc>
      </w:tr>
      <w:tr w:rsidR="00A221C3" w:rsidRPr="00236F8D" w:rsidTr="00975744">
        <w:trPr>
          <w:trHeight w:val="315"/>
          <w:jc w:val="center"/>
        </w:trPr>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t xml:space="preserve">Wheat Straw OF </w:t>
            </w:r>
          </w:p>
        </w:tc>
        <w:tc>
          <w:tcPr>
            <w:tcW w:w="0" w:type="auto"/>
            <w:shd w:val="clear" w:color="auto" w:fill="FFFFFF" w:themeFill="background1"/>
            <w:tcMar>
              <w:top w:w="15" w:type="dxa"/>
              <w:left w:w="70" w:type="dxa"/>
              <w:bottom w:w="0" w:type="dxa"/>
              <w:right w:w="70" w:type="dxa"/>
            </w:tcMar>
            <w:vAlign w:val="center"/>
            <w:hideMark/>
          </w:tcPr>
          <w:p w:rsidR="00A221C3" w:rsidRPr="0030641E" w:rsidRDefault="00A221C3"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272.4</w:t>
            </w:r>
          </w:p>
        </w:tc>
      </w:tr>
    </w:tbl>
    <w:p w:rsidR="008512D3" w:rsidRDefault="008512D3" w:rsidP="00E72FED">
      <w:pPr>
        <w:pStyle w:val="Footer"/>
        <w:tabs>
          <w:tab w:val="left" w:pos="426"/>
        </w:tabs>
        <w:spacing w:line="360" w:lineRule="auto"/>
        <w:rPr>
          <w:bCs/>
          <w:iCs/>
        </w:rPr>
      </w:pPr>
    </w:p>
    <w:p w:rsidR="008512D3" w:rsidRDefault="00E72FED" w:rsidP="00E72FED">
      <w:pPr>
        <w:pStyle w:val="Footer"/>
        <w:tabs>
          <w:tab w:val="left" w:pos="426"/>
        </w:tabs>
        <w:spacing w:line="360" w:lineRule="auto"/>
        <w:rPr>
          <w:bCs/>
          <w:iCs/>
        </w:rPr>
      </w:pPr>
      <w:r w:rsidRPr="00236F8D">
        <w:rPr>
          <w:bCs/>
          <w:iCs/>
        </w:rPr>
        <w:t xml:space="preserve">Regarding the electricity produced by the cogeneration system designed in the plant, the –OF scenarios are those less energy consuming. This is due to the big amount of heat required to produce the syrup in –FF scenarios. As shown in Table </w:t>
      </w:r>
      <w:r w:rsidRPr="0030641E">
        <w:rPr>
          <w:bCs/>
          <w:iCs/>
        </w:rPr>
        <w:t>3</w:t>
      </w:r>
      <w:r w:rsidRPr="00236F8D">
        <w:rPr>
          <w:bCs/>
          <w:iCs/>
        </w:rPr>
        <w:t xml:space="preserve">, the –OF configurations are energetically self-sufficient and provide an excess of electricity that can be sold to the grid (Table </w:t>
      </w:r>
      <w:r w:rsidRPr="0030641E">
        <w:rPr>
          <w:bCs/>
          <w:iCs/>
        </w:rPr>
        <w:t>3</w:t>
      </w:r>
      <w:r w:rsidRPr="00236F8D">
        <w:rPr>
          <w:bCs/>
          <w:iCs/>
        </w:rPr>
        <w:t xml:space="preserve">). </w:t>
      </w:r>
    </w:p>
    <w:p w:rsidR="00E72FED" w:rsidRPr="00B03BAD" w:rsidRDefault="00E72FED" w:rsidP="00E72FED">
      <w:pPr>
        <w:pStyle w:val="Footer"/>
        <w:tabs>
          <w:tab w:val="left" w:pos="426"/>
        </w:tabs>
        <w:spacing w:line="360" w:lineRule="auto"/>
        <w:rPr>
          <w:bCs/>
          <w:iCs/>
        </w:rPr>
      </w:pPr>
      <w:r w:rsidRPr="00B03BAD">
        <w:rPr>
          <w:bCs/>
          <w:iCs/>
        </w:rPr>
        <w:t>Table 3. Electricity and heat requirements for the 2G-ethanol production stand-alone plant.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05"/>
        <w:gridCol w:w="1651"/>
      </w:tblGrid>
      <w:tr w:rsidR="00A221C3" w:rsidRPr="007A293C" w:rsidTr="00975744">
        <w:trPr>
          <w:trHeight w:val="300"/>
          <w:jc w:val="center"/>
        </w:trPr>
        <w:tc>
          <w:tcPr>
            <w:tcW w:w="0" w:type="auto"/>
            <w:vMerge w:val="restart"/>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rPr>
              <w:t>Pathway</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rPr>
              <w:t>Surplus Elect.</w:t>
            </w:r>
          </w:p>
        </w:tc>
      </w:tr>
      <w:tr w:rsidR="00A221C3" w:rsidRPr="007A293C" w:rsidTr="00975744">
        <w:trPr>
          <w:trHeight w:val="315"/>
          <w:jc w:val="center"/>
        </w:trPr>
        <w:tc>
          <w:tcPr>
            <w:tcW w:w="0" w:type="auto"/>
            <w:vMerge/>
            <w:shd w:val="clear" w:color="auto" w:fill="FFFFFF" w:themeFill="background1"/>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rPr>
            </w:pPr>
            <w:r w:rsidRPr="007A293C">
              <w:rPr>
                <w:rFonts w:ascii="Times New Roman" w:hAnsi="Times New Roman"/>
                <w:bCs/>
                <w:iCs/>
                <w:sz w:val="16"/>
                <w:szCs w:val="16"/>
              </w:rPr>
              <w:t>kWh/ton biomass (d.b.)</w:t>
            </w:r>
          </w:p>
        </w:tc>
      </w:tr>
      <w:tr w:rsidR="00A221C3" w:rsidRPr="007A293C"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rPr>
              <w:t xml:space="preserve">Bagasse FF </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rPr>
              <w:t>- 16.2</w:t>
            </w:r>
          </w:p>
        </w:tc>
      </w:tr>
      <w:tr w:rsidR="00A221C3" w:rsidRPr="007A293C"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rPr>
              <w:t xml:space="preserve">Bagasse OF </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rPr>
              <w:t>101.8</w:t>
            </w:r>
          </w:p>
        </w:tc>
      </w:tr>
      <w:tr w:rsidR="00A221C3" w:rsidRPr="007A293C" w:rsidTr="00975744">
        <w:trPr>
          <w:trHeight w:val="300"/>
          <w:jc w:val="center"/>
        </w:trPr>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rPr>
              <w:t>Wh</w:t>
            </w:r>
            <w:r w:rsidRPr="007A293C">
              <w:rPr>
                <w:rFonts w:ascii="Times New Roman" w:hAnsi="Times New Roman"/>
                <w:b/>
                <w:bCs/>
                <w:iCs/>
                <w:sz w:val="16"/>
                <w:szCs w:val="16"/>
                <w:lang w:val="fr-CH"/>
              </w:rPr>
              <w:t xml:space="preserve">eat Straw FF </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- 5.9</w:t>
            </w:r>
          </w:p>
        </w:tc>
      </w:tr>
      <w:tr w:rsidR="00A221C3" w:rsidRPr="007A293C" w:rsidTr="00975744">
        <w:trPr>
          <w:trHeight w:val="315"/>
          <w:jc w:val="center"/>
        </w:trPr>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lang w:val="fr-CH"/>
              </w:rPr>
              <w:t xml:space="preserve">Wheat Straw OF </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122.7</w:t>
            </w:r>
          </w:p>
        </w:tc>
      </w:tr>
    </w:tbl>
    <w:p w:rsidR="00A221C3" w:rsidRDefault="00A221C3" w:rsidP="00E72FED">
      <w:pPr>
        <w:pStyle w:val="Footer"/>
        <w:tabs>
          <w:tab w:val="left" w:pos="426"/>
        </w:tabs>
        <w:spacing w:line="360" w:lineRule="auto"/>
        <w:rPr>
          <w:bCs/>
          <w:iCs/>
        </w:rPr>
      </w:pPr>
    </w:p>
    <w:p w:rsidR="00E72FED" w:rsidRPr="007A293C" w:rsidRDefault="00E72FED" w:rsidP="00E72FED">
      <w:pPr>
        <w:pStyle w:val="Footer"/>
        <w:tabs>
          <w:tab w:val="left" w:pos="426"/>
        </w:tabs>
        <w:spacing w:line="360" w:lineRule="auto"/>
        <w:rPr>
          <w:bCs/>
          <w:iCs/>
        </w:rPr>
      </w:pPr>
      <w:r w:rsidRPr="007A293C">
        <w:rPr>
          <w:bCs/>
          <w:iCs/>
        </w:rPr>
        <w:t xml:space="preserve">The integration of a second generation ethanol plant in a conventional ethanol distillery or sugar mill was simulated in Aspen Plus. These configurations use the 57% of the bagasse produced in the 1G part to feed the 2G part of the biorefinery, leaving the rest for cogeneration. </w:t>
      </w:r>
      <w:r w:rsidR="00A221C3">
        <w:rPr>
          <w:bCs/>
          <w:iCs/>
        </w:rPr>
        <w:t>A</w:t>
      </w:r>
      <w:r w:rsidRPr="007A293C">
        <w:rPr>
          <w:bCs/>
          <w:iCs/>
        </w:rPr>
        <w:t>ssuming that the plant will only operate during the harvesting season (180 days), the results are shown in Table 4.</w:t>
      </w:r>
    </w:p>
    <w:p w:rsidR="00E72FED" w:rsidRPr="00236F8D" w:rsidRDefault="00E72FED" w:rsidP="00E72FED">
      <w:pPr>
        <w:pStyle w:val="Footer"/>
        <w:tabs>
          <w:tab w:val="left" w:pos="426"/>
        </w:tabs>
        <w:spacing w:line="360" w:lineRule="auto"/>
        <w:rPr>
          <w:bCs/>
          <w:iCs/>
        </w:rPr>
      </w:pPr>
      <w:r w:rsidRPr="007A293C">
        <w:rPr>
          <w:bCs/>
          <w:iCs/>
        </w:rPr>
        <w:t>Table 4. Yearly amount of products obtained in the 4 integrated configurations evaluated</w:t>
      </w:r>
      <w:r w:rsidRPr="00236F8D">
        <w:rPr>
          <w:bCs/>
          <w:iCs/>
        </w:rPr>
        <w:t xml:space="preserve"> for 1G2G ethanol production.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626"/>
        <w:gridCol w:w="573"/>
        <w:gridCol w:w="684"/>
        <w:gridCol w:w="799"/>
        <w:gridCol w:w="635"/>
      </w:tblGrid>
      <w:tr w:rsidR="00E72FED" w:rsidRPr="00236F8D" w:rsidTr="00975744">
        <w:trPr>
          <w:trHeight w:val="305"/>
          <w:jc w:val="center"/>
        </w:trPr>
        <w:tc>
          <w:tcPr>
            <w:tcW w:w="0" w:type="auto"/>
            <w:vMerge w:val="restart"/>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t>Pathway</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
                <w:bCs/>
                <w:iCs/>
                <w:sz w:val="16"/>
                <w:szCs w:val="16"/>
                <w:lang w:val="fr-CH"/>
              </w:rPr>
              <w:t>Ethanol</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
                <w:bCs/>
                <w:iCs/>
                <w:sz w:val="16"/>
                <w:szCs w:val="16"/>
                <w:lang w:val="fr-CH"/>
              </w:rPr>
              <w:t>C5 Syrup</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
                <w:bCs/>
                <w:iCs/>
                <w:sz w:val="16"/>
                <w:szCs w:val="16"/>
                <w:lang w:val="fr-CH"/>
              </w:rPr>
              <w:t>C Molasses</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
                <w:bCs/>
                <w:iCs/>
                <w:sz w:val="16"/>
                <w:szCs w:val="16"/>
                <w:lang w:val="fr-CH"/>
              </w:rPr>
              <w:t>Sugar</w:t>
            </w:r>
          </w:p>
        </w:tc>
      </w:tr>
      <w:tr w:rsidR="00E72FED" w:rsidRPr="00236F8D" w:rsidTr="00975744">
        <w:trPr>
          <w:trHeight w:val="183"/>
          <w:jc w:val="center"/>
        </w:trPr>
        <w:tc>
          <w:tcPr>
            <w:tcW w:w="0" w:type="auto"/>
            <w:vMerge/>
            <w:shd w:val="clear" w:color="auto" w:fill="FFFFFF" w:themeFill="background1"/>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Ml/year</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kton/year</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kton/year</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kton/year</w:t>
            </w:r>
          </w:p>
        </w:tc>
      </w:tr>
      <w:tr w:rsidR="00E72FED" w:rsidRPr="00236F8D" w:rsidTr="00975744">
        <w:trPr>
          <w:trHeight w:val="47"/>
          <w:jc w:val="center"/>
        </w:trPr>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t>ED-FF</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236.2</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60.1</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r>
      <w:tr w:rsidR="00E72FED" w:rsidRPr="00236F8D" w:rsidTr="00975744">
        <w:trPr>
          <w:trHeight w:val="67"/>
          <w:jc w:val="center"/>
        </w:trPr>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t>ED-OF</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263.7</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r>
      <w:tr w:rsidR="00E72FED" w:rsidRPr="00236F8D" w:rsidTr="00975744">
        <w:trPr>
          <w:trHeight w:val="409"/>
          <w:jc w:val="center"/>
        </w:trPr>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lastRenderedPageBreak/>
              <w:t>SM-FF</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68.0</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60.1</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49.0</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223.5</w:t>
            </w:r>
          </w:p>
        </w:tc>
      </w:tr>
      <w:tr w:rsidR="00E72FED" w:rsidRPr="00236F8D" w:rsidTr="00975744">
        <w:trPr>
          <w:trHeight w:val="79"/>
          <w:jc w:val="center"/>
        </w:trPr>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rPr>
                <w:rFonts w:ascii="Times New Roman" w:hAnsi="Times New Roman"/>
                <w:bCs/>
                <w:iCs/>
                <w:sz w:val="16"/>
                <w:szCs w:val="16"/>
                <w:lang w:val="fr-CH"/>
              </w:rPr>
            </w:pPr>
            <w:r w:rsidRPr="0030641E">
              <w:rPr>
                <w:rFonts w:ascii="Times New Roman" w:hAnsi="Times New Roman"/>
                <w:b/>
                <w:bCs/>
                <w:iCs/>
                <w:sz w:val="16"/>
                <w:szCs w:val="16"/>
                <w:lang w:val="fr-CH"/>
              </w:rPr>
              <w:t>SM-OF</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95.3</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49.0</w:t>
            </w:r>
          </w:p>
        </w:tc>
        <w:tc>
          <w:tcPr>
            <w:tcW w:w="0" w:type="auto"/>
            <w:shd w:val="clear" w:color="auto" w:fill="FFFFFF" w:themeFill="background1"/>
            <w:tcMar>
              <w:top w:w="15" w:type="dxa"/>
              <w:left w:w="15" w:type="dxa"/>
              <w:bottom w:w="0" w:type="dxa"/>
              <w:right w:w="15" w:type="dxa"/>
            </w:tcMar>
            <w:vAlign w:val="center"/>
            <w:hideMark/>
          </w:tcPr>
          <w:p w:rsidR="00E72FED" w:rsidRPr="0030641E" w:rsidRDefault="00E72FED" w:rsidP="00975744">
            <w:pPr>
              <w:pStyle w:val="Footer"/>
              <w:tabs>
                <w:tab w:val="left" w:pos="426"/>
              </w:tabs>
              <w:spacing w:line="360" w:lineRule="auto"/>
              <w:jc w:val="center"/>
              <w:rPr>
                <w:rFonts w:ascii="Times New Roman" w:hAnsi="Times New Roman"/>
                <w:bCs/>
                <w:iCs/>
                <w:sz w:val="16"/>
                <w:szCs w:val="16"/>
                <w:lang w:val="fr-CH"/>
              </w:rPr>
            </w:pPr>
            <w:r w:rsidRPr="0030641E">
              <w:rPr>
                <w:rFonts w:ascii="Times New Roman" w:hAnsi="Times New Roman"/>
                <w:bCs/>
                <w:iCs/>
                <w:sz w:val="16"/>
                <w:szCs w:val="16"/>
                <w:lang w:val="fr-CH"/>
              </w:rPr>
              <w:t>223.5</w:t>
            </w:r>
          </w:p>
        </w:tc>
      </w:tr>
    </w:tbl>
    <w:p w:rsidR="00E72FED" w:rsidRPr="00236F8D" w:rsidRDefault="00E72FED" w:rsidP="00E72FED">
      <w:pPr>
        <w:pStyle w:val="Footer"/>
        <w:tabs>
          <w:tab w:val="left" w:pos="426"/>
        </w:tabs>
        <w:spacing w:line="360" w:lineRule="auto"/>
        <w:rPr>
          <w:bCs/>
          <w:iCs/>
        </w:rPr>
      </w:pPr>
    </w:p>
    <w:p w:rsidR="00E72FED" w:rsidRDefault="00E72FED" w:rsidP="00E72FED">
      <w:pPr>
        <w:pStyle w:val="Footer"/>
        <w:tabs>
          <w:tab w:val="left" w:pos="426"/>
        </w:tabs>
        <w:spacing w:line="360" w:lineRule="auto"/>
        <w:rPr>
          <w:bCs/>
          <w:iCs/>
        </w:rPr>
      </w:pPr>
      <w:r w:rsidRPr="00236F8D">
        <w:rPr>
          <w:bCs/>
          <w:iCs/>
        </w:rPr>
        <w:t xml:space="preserve">The ethanol production in the 2G stand-alone plant was compared with the one obtained in the integrated 1G2G plant using </w:t>
      </w:r>
      <w:r>
        <w:rPr>
          <w:bCs/>
          <w:iCs/>
        </w:rPr>
        <w:t xml:space="preserve">the </w:t>
      </w:r>
      <w:r w:rsidRPr="00236F8D">
        <w:rPr>
          <w:bCs/>
          <w:iCs/>
        </w:rPr>
        <w:t xml:space="preserve">same amount of sugarcane bagasse for the 2G part, i.e.1032 ton sugarcane bagasse (d.b.)/day. </w:t>
      </w:r>
    </w:p>
    <w:p w:rsidR="00E72FED" w:rsidRPr="007A293C" w:rsidRDefault="00E72FED" w:rsidP="00E72FED">
      <w:pPr>
        <w:pStyle w:val="Footer"/>
        <w:tabs>
          <w:tab w:val="left" w:pos="426"/>
        </w:tabs>
        <w:spacing w:line="360" w:lineRule="auto"/>
        <w:rPr>
          <w:bCs/>
          <w:iCs/>
        </w:rPr>
      </w:pPr>
      <w:r>
        <w:rPr>
          <w:bCs/>
          <w:iCs/>
        </w:rPr>
        <w:t>The results showed that the 1G2G-</w:t>
      </w:r>
      <w:r w:rsidRPr="00236F8D">
        <w:rPr>
          <w:bCs/>
          <w:iCs/>
        </w:rPr>
        <w:t>ethanol produc</w:t>
      </w:r>
      <w:r>
        <w:rPr>
          <w:bCs/>
          <w:iCs/>
        </w:rPr>
        <w:t xml:space="preserve">ed in the ED-FF plant was 36 ton/h higher than the 2G-ethanol produced in the -FF stand-alone plant. On the other hand, the ethanol obtained in the SM-FF scenario was 10 ton/h higher than that obtained in the –FF 2G-plant. </w:t>
      </w:r>
      <w:r w:rsidRPr="00236F8D">
        <w:rPr>
          <w:bCs/>
          <w:iCs/>
        </w:rPr>
        <w:t>In turn, th</w:t>
      </w:r>
      <w:r>
        <w:rPr>
          <w:bCs/>
          <w:iCs/>
        </w:rPr>
        <w:t>e</w:t>
      </w:r>
      <w:r w:rsidRPr="00236F8D">
        <w:rPr>
          <w:bCs/>
          <w:iCs/>
        </w:rPr>
        <w:t xml:space="preserve"> 1G2G</w:t>
      </w:r>
      <w:r>
        <w:rPr>
          <w:bCs/>
          <w:iCs/>
        </w:rPr>
        <w:t>-</w:t>
      </w:r>
      <w:r w:rsidRPr="00236F8D">
        <w:rPr>
          <w:bCs/>
          <w:iCs/>
        </w:rPr>
        <w:t>ethanol production</w:t>
      </w:r>
      <w:r>
        <w:rPr>
          <w:bCs/>
          <w:iCs/>
        </w:rPr>
        <w:t xml:space="preserve"> in the –OF configuration was</w:t>
      </w:r>
      <w:r w:rsidRPr="00236F8D">
        <w:rPr>
          <w:bCs/>
          <w:iCs/>
        </w:rPr>
        <w:t xml:space="preserve"> 11% (ED-</w:t>
      </w:r>
      <w:r>
        <w:rPr>
          <w:bCs/>
          <w:iCs/>
        </w:rPr>
        <w:t>OF</w:t>
      </w:r>
      <w:r w:rsidRPr="00236F8D">
        <w:rPr>
          <w:bCs/>
          <w:iCs/>
        </w:rPr>
        <w:t xml:space="preserve">) </w:t>
      </w:r>
      <w:r>
        <w:rPr>
          <w:bCs/>
          <w:iCs/>
        </w:rPr>
        <w:t>or</w:t>
      </w:r>
      <w:r w:rsidRPr="00236F8D">
        <w:rPr>
          <w:bCs/>
          <w:iCs/>
        </w:rPr>
        <w:t xml:space="preserve"> 39% (SM-</w:t>
      </w:r>
      <w:r>
        <w:rPr>
          <w:bCs/>
          <w:iCs/>
        </w:rPr>
        <w:t>OF</w:t>
      </w:r>
      <w:r w:rsidRPr="00236F8D">
        <w:rPr>
          <w:bCs/>
          <w:iCs/>
        </w:rPr>
        <w:t>)</w:t>
      </w:r>
      <w:r>
        <w:rPr>
          <w:bCs/>
          <w:iCs/>
        </w:rPr>
        <w:t xml:space="preserve"> higher than the amount </w:t>
      </w:r>
      <w:r w:rsidRPr="007A293C">
        <w:rPr>
          <w:bCs/>
          <w:iCs/>
        </w:rPr>
        <w:t>of ethanol obtained in ED-FF or SM-FF respectively.</w:t>
      </w:r>
    </w:p>
    <w:p w:rsidR="00E72FED" w:rsidRPr="007A293C" w:rsidRDefault="00E72FED" w:rsidP="00E72FED">
      <w:pPr>
        <w:pStyle w:val="Footer"/>
        <w:tabs>
          <w:tab w:val="left" w:pos="426"/>
        </w:tabs>
        <w:spacing w:line="360" w:lineRule="auto"/>
        <w:rPr>
          <w:bCs/>
          <w:iCs/>
        </w:rPr>
      </w:pPr>
      <w:r w:rsidRPr="007A293C">
        <w:rPr>
          <w:bCs/>
          <w:iCs/>
        </w:rPr>
        <w:t xml:space="preserve">Table 5. </w:t>
      </w:r>
      <w:r w:rsidR="00A221C3">
        <w:rPr>
          <w:bCs/>
          <w:iCs/>
        </w:rPr>
        <w:t>Surplus electricity</w:t>
      </w:r>
      <w:r w:rsidRPr="007A293C">
        <w:rPr>
          <w:bCs/>
          <w:iCs/>
        </w:rPr>
        <w:t xml:space="preserve"> in the considered integrated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736"/>
        <w:gridCol w:w="1420"/>
      </w:tblGrid>
      <w:tr w:rsidR="00A221C3" w:rsidRPr="007A293C" w:rsidTr="00975744">
        <w:trPr>
          <w:trHeight w:val="205"/>
          <w:jc w:val="center"/>
        </w:trPr>
        <w:tc>
          <w:tcPr>
            <w:tcW w:w="0" w:type="auto"/>
            <w:vMerge w:val="restart"/>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rPr>
            </w:pPr>
            <w:r w:rsidRPr="007A293C">
              <w:rPr>
                <w:rFonts w:ascii="Times New Roman" w:hAnsi="Times New Roman"/>
                <w:b/>
                <w:bCs/>
                <w:iCs/>
                <w:sz w:val="16"/>
                <w:szCs w:val="16"/>
              </w:rPr>
              <w:t>Pathway</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
                <w:bCs/>
                <w:iCs/>
                <w:sz w:val="16"/>
                <w:szCs w:val="16"/>
              </w:rPr>
              <w:t>Surplus Elect.</w:t>
            </w:r>
          </w:p>
        </w:tc>
      </w:tr>
      <w:tr w:rsidR="00A221C3" w:rsidRPr="00975744" w:rsidTr="00975744">
        <w:trPr>
          <w:trHeight w:val="315"/>
          <w:jc w:val="center"/>
        </w:trPr>
        <w:tc>
          <w:tcPr>
            <w:tcW w:w="0" w:type="auto"/>
            <w:vMerge/>
            <w:shd w:val="clear" w:color="auto" w:fill="FFFFFF" w:themeFill="background1"/>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kWh/ton cane (d.b.)</w:t>
            </w:r>
          </w:p>
        </w:tc>
      </w:tr>
      <w:tr w:rsidR="00A221C3" w:rsidRPr="007A293C" w:rsidTr="00975744">
        <w:trPr>
          <w:trHeight w:val="300"/>
          <w:jc w:val="center"/>
        </w:trPr>
        <w:tc>
          <w:tcPr>
            <w:tcW w:w="0" w:type="auto"/>
            <w:shd w:val="clear" w:color="auto" w:fill="FFFFFF" w:themeFill="background1"/>
            <w:tcMar>
              <w:top w:w="15" w:type="dxa"/>
              <w:left w:w="15" w:type="dxa"/>
              <w:bottom w:w="0" w:type="dxa"/>
              <w:right w:w="15"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lang w:val="fr-CH"/>
              </w:rPr>
              <w:t>ED-FF</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-56.6</w:t>
            </w:r>
          </w:p>
        </w:tc>
      </w:tr>
      <w:tr w:rsidR="00A221C3" w:rsidRPr="007A293C" w:rsidTr="00975744">
        <w:trPr>
          <w:trHeight w:val="300"/>
          <w:jc w:val="center"/>
        </w:trPr>
        <w:tc>
          <w:tcPr>
            <w:tcW w:w="0" w:type="auto"/>
            <w:shd w:val="clear" w:color="auto" w:fill="FFFFFF" w:themeFill="background1"/>
            <w:tcMar>
              <w:top w:w="15" w:type="dxa"/>
              <w:left w:w="15" w:type="dxa"/>
              <w:bottom w:w="0" w:type="dxa"/>
              <w:right w:w="15"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lang w:val="fr-CH"/>
              </w:rPr>
              <w:t>ED-OF</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-2.40</w:t>
            </w:r>
          </w:p>
        </w:tc>
      </w:tr>
      <w:tr w:rsidR="00A221C3" w:rsidRPr="007A293C" w:rsidTr="00975744">
        <w:trPr>
          <w:trHeight w:val="300"/>
          <w:jc w:val="center"/>
        </w:trPr>
        <w:tc>
          <w:tcPr>
            <w:tcW w:w="0" w:type="auto"/>
            <w:shd w:val="clear" w:color="auto" w:fill="FFFFFF" w:themeFill="background1"/>
            <w:tcMar>
              <w:top w:w="15" w:type="dxa"/>
              <w:left w:w="15" w:type="dxa"/>
              <w:bottom w:w="0" w:type="dxa"/>
              <w:right w:w="15"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lang w:val="fr-CH"/>
              </w:rPr>
              <w:t>SM-FF</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-0.11</w:t>
            </w:r>
          </w:p>
        </w:tc>
      </w:tr>
      <w:tr w:rsidR="00A221C3" w:rsidRPr="007A293C" w:rsidTr="00975744">
        <w:trPr>
          <w:trHeight w:val="315"/>
          <w:jc w:val="center"/>
        </w:trPr>
        <w:tc>
          <w:tcPr>
            <w:tcW w:w="0" w:type="auto"/>
            <w:shd w:val="clear" w:color="auto" w:fill="FFFFFF" w:themeFill="background1"/>
            <w:tcMar>
              <w:top w:w="15" w:type="dxa"/>
              <w:left w:w="15" w:type="dxa"/>
              <w:bottom w:w="0" w:type="dxa"/>
              <w:right w:w="15" w:type="dxa"/>
            </w:tcMar>
            <w:vAlign w:val="center"/>
            <w:hideMark/>
          </w:tcPr>
          <w:p w:rsidR="00A221C3" w:rsidRPr="007A293C" w:rsidRDefault="00A221C3" w:rsidP="00975744">
            <w:pPr>
              <w:pStyle w:val="Footer"/>
              <w:tabs>
                <w:tab w:val="left" w:pos="426"/>
              </w:tabs>
              <w:spacing w:line="360" w:lineRule="auto"/>
              <w:rPr>
                <w:rFonts w:ascii="Times New Roman" w:hAnsi="Times New Roman"/>
                <w:bCs/>
                <w:iCs/>
                <w:sz w:val="16"/>
                <w:szCs w:val="16"/>
                <w:lang w:val="fr-CH"/>
              </w:rPr>
            </w:pPr>
            <w:r w:rsidRPr="007A293C">
              <w:rPr>
                <w:rFonts w:ascii="Times New Roman" w:hAnsi="Times New Roman"/>
                <w:b/>
                <w:bCs/>
                <w:iCs/>
                <w:sz w:val="16"/>
                <w:szCs w:val="16"/>
                <w:lang w:val="fr-CH"/>
              </w:rPr>
              <w:t>SM-OF</w:t>
            </w:r>
          </w:p>
        </w:tc>
        <w:tc>
          <w:tcPr>
            <w:tcW w:w="0" w:type="auto"/>
            <w:shd w:val="clear" w:color="auto" w:fill="FFFFFF" w:themeFill="background1"/>
            <w:tcMar>
              <w:top w:w="15" w:type="dxa"/>
              <w:left w:w="70" w:type="dxa"/>
              <w:bottom w:w="0" w:type="dxa"/>
              <w:right w:w="70" w:type="dxa"/>
            </w:tcMar>
            <w:vAlign w:val="center"/>
            <w:hideMark/>
          </w:tcPr>
          <w:p w:rsidR="00A221C3" w:rsidRPr="007A293C" w:rsidRDefault="00A221C3" w:rsidP="00975744">
            <w:pPr>
              <w:pStyle w:val="Footer"/>
              <w:tabs>
                <w:tab w:val="left" w:pos="426"/>
              </w:tabs>
              <w:spacing w:line="360" w:lineRule="auto"/>
              <w:jc w:val="center"/>
              <w:rPr>
                <w:rFonts w:ascii="Times New Roman" w:hAnsi="Times New Roman"/>
                <w:bCs/>
                <w:iCs/>
                <w:sz w:val="16"/>
                <w:szCs w:val="16"/>
                <w:lang w:val="fr-CH"/>
              </w:rPr>
            </w:pPr>
            <w:r w:rsidRPr="007A293C">
              <w:rPr>
                <w:rFonts w:ascii="Times New Roman" w:hAnsi="Times New Roman"/>
                <w:bCs/>
                <w:iCs/>
                <w:sz w:val="16"/>
                <w:szCs w:val="16"/>
                <w:lang w:val="fr-CH"/>
              </w:rPr>
              <w:t>0.09</w:t>
            </w:r>
          </w:p>
        </w:tc>
      </w:tr>
    </w:tbl>
    <w:p w:rsidR="00E72FED" w:rsidRPr="007A293C" w:rsidRDefault="00E72FED" w:rsidP="00E72FED">
      <w:pPr>
        <w:pStyle w:val="Footer"/>
        <w:tabs>
          <w:tab w:val="left" w:pos="426"/>
        </w:tabs>
        <w:spacing w:line="360" w:lineRule="auto"/>
        <w:rPr>
          <w:bCs/>
          <w:iCs/>
        </w:rPr>
      </w:pPr>
    </w:p>
    <w:p w:rsidR="00E72FED" w:rsidRPr="00236F8D" w:rsidRDefault="00E72FED" w:rsidP="00E72FED">
      <w:pPr>
        <w:pStyle w:val="Footer"/>
        <w:tabs>
          <w:tab w:val="left" w:pos="426"/>
        </w:tabs>
        <w:spacing w:line="360" w:lineRule="auto"/>
        <w:rPr>
          <w:bCs/>
          <w:iCs/>
        </w:rPr>
      </w:pPr>
      <w:r w:rsidRPr="007A293C">
        <w:rPr>
          <w:bCs/>
          <w:iCs/>
        </w:rPr>
        <w:t xml:space="preserve">Table 5 shows that integrated scenarios are not energetically self-sufficient. Only the SM-OF can fulfill the utilities required by the plant without purchasing any other fuel source. </w:t>
      </w:r>
      <w:r w:rsidRPr="00236F8D">
        <w:rPr>
          <w:bCs/>
          <w:iCs/>
        </w:rPr>
        <w:t>Because of this, the possibility of feeding the cogeneration system with green harvesting residues was evaluated (Figure 2).</w:t>
      </w:r>
    </w:p>
    <w:p w:rsidR="00E72FED" w:rsidRPr="00236F8D" w:rsidRDefault="00E72FED" w:rsidP="00E72FED">
      <w:pPr>
        <w:pStyle w:val="Footer"/>
        <w:tabs>
          <w:tab w:val="left" w:pos="426"/>
        </w:tabs>
        <w:spacing w:line="360" w:lineRule="auto"/>
        <w:jc w:val="center"/>
        <w:rPr>
          <w:bCs/>
          <w:iCs/>
        </w:rPr>
      </w:pPr>
      <w:r w:rsidRPr="0030641E">
        <w:rPr>
          <w:bCs/>
          <w:iCs/>
          <w:noProof/>
          <w:lang w:val="fr-CH" w:eastAsia="fr-CH"/>
        </w:rPr>
        <w:lastRenderedPageBreak/>
        <w:drawing>
          <wp:inline distT="0" distB="0" distL="0" distR="0" wp14:anchorId="2F8BE909" wp14:editId="2577D470">
            <wp:extent cx="5080884" cy="3188473"/>
            <wp:effectExtent l="0" t="0" r="571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2FED" w:rsidRPr="00924C4E" w:rsidRDefault="00E72FED" w:rsidP="00E72FED">
      <w:pPr>
        <w:pStyle w:val="Caption"/>
        <w:spacing w:after="0" w:line="360" w:lineRule="auto"/>
        <w:ind w:left="720" w:hanging="720"/>
        <w:jc w:val="center"/>
        <w:rPr>
          <w:b w:val="0"/>
          <w:sz w:val="22"/>
          <w:szCs w:val="22"/>
        </w:rPr>
      </w:pPr>
      <w:r w:rsidRPr="00924C4E">
        <w:rPr>
          <w:b w:val="0"/>
          <w:sz w:val="22"/>
          <w:szCs w:val="22"/>
        </w:rPr>
        <w:t>Figure 3 GHR cogeneration for energy independence</w:t>
      </w:r>
    </w:p>
    <w:p w:rsidR="00E72FED" w:rsidRPr="00236F8D" w:rsidRDefault="00E72FED" w:rsidP="00E72FED">
      <w:pPr>
        <w:spacing w:line="360" w:lineRule="auto"/>
      </w:pPr>
    </w:p>
    <w:p w:rsidR="00E72FED" w:rsidRPr="00236F8D" w:rsidRDefault="00E72FED" w:rsidP="00E72FED">
      <w:pPr>
        <w:spacing w:line="360" w:lineRule="auto"/>
      </w:pPr>
      <w:r w:rsidRPr="00236F8D">
        <w:t xml:space="preserve">Figure </w:t>
      </w:r>
      <w:r>
        <w:t>3</w:t>
      </w:r>
      <w:r w:rsidRPr="00236F8D">
        <w:t xml:space="preserve"> compares the level of GHR removal needed to attain energy independence for all the integration scenarios. As can be seen in the figure, 2G pathways integrated to sugar and ethanol production (SM-) would need less GHR removal than 1G pathways integrated to 2G ethanol production with no sugar production (ED-). </w:t>
      </w:r>
      <w:r w:rsidR="00B76DD5">
        <w:t>This is because</w:t>
      </w:r>
      <w:r w:rsidRPr="00236F8D">
        <w:t xml:space="preserve"> fermenting and distilling the juice involves a </w:t>
      </w:r>
      <w:r w:rsidR="00B76DD5">
        <w:t>higher energy</w:t>
      </w:r>
      <w:r w:rsidRPr="00236F8D">
        <w:t xml:space="preserve"> demand than extracting the crystallized sugar from the juice and fermenting and distilling a more concentrated substrate such as B molas</w:t>
      </w:r>
      <w:r w:rsidR="0070383D">
        <w:t>ses in the SM scenarios</w:t>
      </w:r>
      <w:r w:rsidRPr="00236F8D">
        <w:t xml:space="preserve">. </w:t>
      </w:r>
    </w:p>
    <w:p w:rsidR="00E72FED" w:rsidRPr="00236F8D" w:rsidRDefault="00E72FED" w:rsidP="00E72FED">
      <w:pPr>
        <w:spacing w:line="360" w:lineRule="auto"/>
      </w:pPr>
      <w:r w:rsidRPr="00236F8D">
        <w:t xml:space="preserve">The capacity of the plant was also modified in order to evaluate its correspondence with the amount of ethanol produced. The SM-FF scenario was selected as case study fixing the percentage of GHR used in cogeneration to a threshold level (50%). The size of the 2G biorefinery was firstly increased with all the bagasse produced in the sugar mill (1G part), and then adding 200 ton/day (d.b.) of GHR to all the bagasse available. </w:t>
      </w:r>
    </w:p>
    <w:p w:rsidR="00E72FED" w:rsidRPr="00924C4E" w:rsidRDefault="00E72FED" w:rsidP="00E72FED">
      <w:pPr>
        <w:pStyle w:val="Caption"/>
        <w:keepNext/>
        <w:spacing w:line="360" w:lineRule="auto"/>
        <w:rPr>
          <w:b w:val="0"/>
          <w:sz w:val="22"/>
        </w:rPr>
      </w:pPr>
      <w:bookmarkStart w:id="18" w:name="_Ref334636882"/>
      <w:r w:rsidRPr="00924C4E">
        <w:rPr>
          <w:b w:val="0"/>
          <w:sz w:val="22"/>
        </w:rPr>
        <w:t>Table 6</w:t>
      </w:r>
      <w:bookmarkEnd w:id="18"/>
      <w:r w:rsidRPr="00924C4E">
        <w:rPr>
          <w:b w:val="0"/>
          <w:sz w:val="22"/>
        </w:rPr>
        <w:t xml:space="preserve"> 2G size analyses</w:t>
      </w:r>
    </w:p>
    <w:p w:rsidR="00E72FED" w:rsidRPr="00236F8D" w:rsidRDefault="00E72FED" w:rsidP="00E72FED">
      <w:pPr>
        <w:spacing w:line="360" w:lineRule="auto"/>
        <w:jc w:val="center"/>
      </w:pPr>
      <w:r w:rsidRPr="0030641E">
        <w:rPr>
          <w:noProof/>
          <w:lang w:val="fr-CH" w:eastAsia="fr-CH"/>
        </w:rPr>
        <w:drawing>
          <wp:inline distT="0" distB="0" distL="0" distR="0" wp14:anchorId="7FD2FA36" wp14:editId="5BD5D3F0">
            <wp:extent cx="5683910" cy="668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r="14433"/>
                    <a:stretch/>
                  </pic:blipFill>
                  <pic:spPr bwMode="auto">
                    <a:xfrm>
                      <a:off x="0" y="0"/>
                      <a:ext cx="5683954" cy="668020"/>
                    </a:xfrm>
                    <a:prstGeom prst="rect">
                      <a:avLst/>
                    </a:prstGeom>
                    <a:noFill/>
                    <a:ln>
                      <a:noFill/>
                    </a:ln>
                    <a:extLst>
                      <a:ext uri="{53640926-AAD7-44D8-BBD7-CCE9431645EC}">
                        <a14:shadowObscured xmlns:a14="http://schemas.microsoft.com/office/drawing/2010/main"/>
                      </a:ext>
                    </a:extLst>
                  </pic:spPr>
                </pic:pic>
              </a:graphicData>
            </a:graphic>
          </wp:inline>
        </w:drawing>
      </w:r>
    </w:p>
    <w:p w:rsidR="00E72FED" w:rsidRDefault="00E72FED" w:rsidP="00E72FED">
      <w:pPr>
        <w:spacing w:line="360" w:lineRule="auto"/>
      </w:pPr>
    </w:p>
    <w:p w:rsidR="00E72FED" w:rsidRPr="00236F8D" w:rsidRDefault="00E72FED" w:rsidP="00E72FED">
      <w:pPr>
        <w:spacing w:line="360" w:lineRule="auto"/>
      </w:pPr>
      <w:r w:rsidRPr="00236F8D">
        <w:t xml:space="preserve">In the first line of </w:t>
      </w:r>
      <w:r w:rsidRPr="0030641E">
        <w:fldChar w:fldCharType="begin"/>
      </w:r>
      <w:r w:rsidRPr="00236F8D">
        <w:instrText xml:space="preserve"> REF _Ref334636882 \h </w:instrText>
      </w:r>
      <w:r w:rsidRPr="0030641E">
        <w:instrText xml:space="preserve"> \* MERGEFORMAT </w:instrText>
      </w:r>
      <w:r w:rsidRPr="0030641E">
        <w:fldChar w:fldCharType="separate"/>
      </w:r>
      <w:r w:rsidRPr="00236F8D">
        <w:t xml:space="preserve">Table </w:t>
      </w:r>
      <w:r w:rsidRPr="0030641E">
        <w:t>6</w:t>
      </w:r>
      <w:r w:rsidRPr="0030641E">
        <w:fldChar w:fldCharType="end"/>
      </w:r>
      <w:r w:rsidRPr="00236F8D">
        <w:t xml:space="preserve"> it can be seen that a SM-FF biorefinery produces a surplus of energy of 144.9 kwh/ton of sugarcane (d.b.) using 57% of the available bagasse for ethanol and C5 syrup production and 50% of the available GHR for cogeneration together with the remaining bagasse. The ethanol and C5 syrup production increases along </w:t>
      </w:r>
      <w:r w:rsidRPr="00236F8D">
        <w:lastRenderedPageBreak/>
        <w:t>with the size of the 2G part of the integrated configuration. However, in a plant using all the available bagasse (1820 ton sugarcane bagasse/day (d.b.), an energy deficit of 85.5 k</w:t>
      </w:r>
      <w:r w:rsidR="0070383D">
        <w:t>W</w:t>
      </w:r>
      <w:r w:rsidRPr="00236F8D">
        <w:t xml:space="preserve">h/ton of sugarcane is noticed. </w:t>
      </w:r>
      <w:r w:rsidR="0070383D">
        <w:t>This is related to t</w:t>
      </w:r>
      <w:r w:rsidRPr="00236F8D">
        <w:t xml:space="preserve">he electricity generation and steam consumption. </w:t>
      </w:r>
      <w:r w:rsidR="00614DC9">
        <w:t>S</w:t>
      </w:r>
      <w:r w:rsidR="00614DC9" w:rsidRPr="00236F8D">
        <w:t>caling-up the 2G part without sufficient biomass av</w:t>
      </w:r>
      <w:r w:rsidR="00614DC9">
        <w:t xml:space="preserve">ailability for cogeneration </w:t>
      </w:r>
      <w:r w:rsidR="00614DC9" w:rsidRPr="00236F8D">
        <w:t>result in energy deficits</w:t>
      </w:r>
      <w:r w:rsidR="00614DC9">
        <w:t xml:space="preserve"> (Figure 4)</w:t>
      </w:r>
      <w:r w:rsidR="00614DC9" w:rsidRPr="00236F8D">
        <w:t>.</w:t>
      </w:r>
    </w:p>
    <w:p w:rsidR="00E72FED" w:rsidRPr="00236F8D" w:rsidRDefault="001C65D1" w:rsidP="00E72FED">
      <w:pPr>
        <w:keepNext/>
        <w:spacing w:line="360" w:lineRule="auto"/>
        <w:jc w:val="center"/>
      </w:pPr>
      <w:r w:rsidRPr="0030641E">
        <w:rPr>
          <w:noProof/>
          <w:lang w:val="fr-CH" w:eastAsia="fr-CH"/>
        </w:rPr>
        <mc:AlternateContent>
          <mc:Choice Requires="wps">
            <w:drawing>
              <wp:anchor distT="45720" distB="45720" distL="114300" distR="114300" simplePos="0" relativeHeight="251654656" behindDoc="0" locked="0" layoutInCell="1" allowOverlap="1" wp14:anchorId="274267CF" wp14:editId="39953103">
                <wp:simplePos x="0" y="0"/>
                <wp:positionH relativeFrom="margin">
                  <wp:posOffset>2263775</wp:posOffset>
                </wp:positionH>
                <wp:positionV relativeFrom="paragraph">
                  <wp:posOffset>680085</wp:posOffset>
                </wp:positionV>
                <wp:extent cx="1029970" cy="5111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Default="00975744" w:rsidP="00E72FED">
                            <w:r>
                              <w:rPr>
                                <w:sz w:val="16"/>
                                <w:szCs w:val="16"/>
                              </w:rPr>
                              <w:t>-146.7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267CF" id="_x0000_s1028" type="#_x0000_t202" style="position:absolute;left:0;text-align:left;margin-left:178.25pt;margin-top:53.55pt;width:81.1pt;height:40.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" filled="f" stroked="f">
                <v:textbox>
                  <w:txbxContent>
                    <w:p w:rsidR="00975744" w:rsidRDefault="00975744" w:rsidP="00E72FED">
                      <w:r>
                        <w:rPr>
                          <w:sz w:val="16"/>
                          <w:szCs w:val="16"/>
                        </w:rPr>
                        <w:t>-146.7</w:t>
                      </w:r>
                    </w:p>
                  </w:txbxContent>
                </v:textbox>
                <w10:wrap anchorx="margin"/>
              </v:shape>
            </w:pict>
          </mc:Fallback>
        </mc:AlternateContent>
      </w:r>
      <w:r w:rsidRPr="0030641E">
        <w:rPr>
          <w:noProof/>
          <w:lang w:val="fr-CH" w:eastAsia="fr-CH"/>
        </w:rPr>
        <mc:AlternateContent>
          <mc:Choice Requires="wps">
            <w:drawing>
              <wp:anchor distT="45720" distB="45720" distL="114300" distR="114300" simplePos="0" relativeHeight="251660800" behindDoc="0" locked="0" layoutInCell="1" allowOverlap="1" wp14:anchorId="17286484" wp14:editId="03A4DAAC">
                <wp:simplePos x="0" y="0"/>
                <wp:positionH relativeFrom="margin">
                  <wp:posOffset>2856865</wp:posOffset>
                </wp:positionH>
                <wp:positionV relativeFrom="paragraph">
                  <wp:posOffset>1049655</wp:posOffset>
                </wp:positionV>
                <wp:extent cx="1029970" cy="511175"/>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Pr="0030641E" w:rsidRDefault="00975744" w:rsidP="00E72FED">
                            <w:pPr>
                              <w:rPr>
                                <w:lang w:val="fr-CH"/>
                              </w:rPr>
                            </w:pPr>
                            <w:r>
                              <w:rPr>
                                <w:sz w:val="16"/>
                                <w:szCs w:val="16"/>
                                <w:lang w:val="fr-CH"/>
                              </w:rPr>
                              <w:t>144.9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86484" id="_x0000_s1029" type="#_x0000_t202" style="position:absolute;left:0;text-align:left;margin-left:224.95pt;margin-top:82.65pt;width:81.1pt;height:40.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" filled="f" stroked="f">
                <v:textbox>
                  <w:txbxContent>
                    <w:p w:rsidR="00975744" w:rsidRPr="0030641E" w:rsidRDefault="00975744" w:rsidP="00E72FED">
                      <w:pPr>
                        <w:rPr>
                          <w:lang w:val="fr-CH"/>
                        </w:rPr>
                      </w:pPr>
                      <w:r>
                        <w:rPr>
                          <w:sz w:val="16"/>
                          <w:szCs w:val="16"/>
                          <w:lang w:val="fr-CH"/>
                        </w:rPr>
                        <w:t>144.9</w:t>
                      </w:r>
                    </w:p>
                  </w:txbxContent>
                </v:textbox>
                <w10:wrap anchorx="margin"/>
              </v:shape>
            </w:pict>
          </mc:Fallback>
        </mc:AlternateContent>
      </w:r>
      <w:r w:rsidRPr="0030641E">
        <w:rPr>
          <w:noProof/>
          <w:lang w:val="fr-CH" w:eastAsia="fr-CH"/>
        </w:rPr>
        <mc:AlternateContent>
          <mc:Choice Requires="wps">
            <w:drawing>
              <wp:anchor distT="45720" distB="45720" distL="114300" distR="114300" simplePos="0" relativeHeight="251657728" behindDoc="0" locked="0" layoutInCell="1" allowOverlap="1" wp14:anchorId="5594B9E9" wp14:editId="45ACF463">
                <wp:simplePos x="0" y="0"/>
                <wp:positionH relativeFrom="margin">
                  <wp:posOffset>2409749</wp:posOffset>
                </wp:positionH>
                <wp:positionV relativeFrom="paragraph">
                  <wp:posOffset>875538</wp:posOffset>
                </wp:positionV>
                <wp:extent cx="1029970" cy="5111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Default="00975744" w:rsidP="00E72FED">
                            <w:r>
                              <w:rPr>
                                <w:sz w:val="16"/>
                                <w:szCs w:val="16"/>
                              </w:rPr>
                              <w:t>-85.5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4B9E9" id="_x0000_s1030" type="#_x0000_t202" style="position:absolute;left:0;text-align:left;margin-left:189.75pt;margin-top:68.95pt;width:81.1pt;height:40.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" filled="f" stroked="f">
                <v:textbox>
                  <w:txbxContent>
                    <w:p w:rsidR="00975744" w:rsidRDefault="00975744" w:rsidP="00E72FED">
                      <w:r>
                        <w:rPr>
                          <w:sz w:val="16"/>
                          <w:szCs w:val="16"/>
                        </w:rPr>
                        <w:t>-85.5</w:t>
                      </w:r>
                    </w:p>
                  </w:txbxContent>
                </v:textbox>
                <w10:wrap anchorx="margin"/>
              </v:shape>
            </w:pict>
          </mc:Fallback>
        </mc:AlternateContent>
      </w:r>
      <w:r w:rsidRPr="0030641E">
        <w:rPr>
          <w:noProof/>
          <w:lang w:val="fr-CH" w:eastAsia="fr-CH"/>
        </w:rPr>
        <mc:AlternateContent>
          <mc:Choice Requires="wps">
            <w:drawing>
              <wp:anchor distT="45720" distB="45720" distL="114300" distR="114300" simplePos="0" relativeHeight="251671040" behindDoc="0" locked="0" layoutInCell="1" allowOverlap="1" wp14:anchorId="31088C90" wp14:editId="30054FFF">
                <wp:simplePos x="0" y="0"/>
                <wp:positionH relativeFrom="margin">
                  <wp:posOffset>2038350</wp:posOffset>
                </wp:positionH>
                <wp:positionV relativeFrom="paragraph">
                  <wp:posOffset>3109595</wp:posOffset>
                </wp:positionV>
                <wp:extent cx="1029970" cy="51117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Default="00975744" w:rsidP="00E72FED">
                            <w:r>
                              <w:rPr>
                                <w:sz w:val="16"/>
                                <w:szCs w:val="16"/>
                              </w:rPr>
                              <w:t>0.85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88C90" id="_x0000_s1031" type="#_x0000_t202" style="position:absolute;left:0;text-align:left;margin-left:160.5pt;margin-top:244.85pt;width:81.1pt;height:40.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" filled="f" stroked="f">
                <v:textbox>
                  <w:txbxContent>
                    <w:p w:rsidR="00975744" w:rsidRDefault="00975744" w:rsidP="00E72FED">
                      <w:r>
                        <w:rPr>
                          <w:sz w:val="16"/>
                          <w:szCs w:val="16"/>
                        </w:rPr>
                        <w:t>0.85</w:t>
                      </w:r>
                    </w:p>
                  </w:txbxContent>
                </v:textbox>
                <w10:wrap anchorx="margin"/>
              </v:shape>
            </w:pict>
          </mc:Fallback>
        </mc:AlternateContent>
      </w:r>
      <w:r w:rsidRPr="0030641E">
        <w:rPr>
          <w:noProof/>
          <w:lang w:val="fr-CH" w:eastAsia="fr-CH"/>
        </w:rPr>
        <mc:AlternateContent>
          <mc:Choice Requires="wps">
            <w:drawing>
              <wp:anchor distT="45720" distB="45720" distL="114300" distR="114300" simplePos="0" relativeHeight="251663872" behindDoc="0" locked="0" layoutInCell="1" allowOverlap="1" wp14:anchorId="56DAC1C0" wp14:editId="2147D3F8">
                <wp:simplePos x="0" y="0"/>
                <wp:positionH relativeFrom="margin">
                  <wp:posOffset>2508885</wp:posOffset>
                </wp:positionH>
                <wp:positionV relativeFrom="paragraph">
                  <wp:posOffset>2740025</wp:posOffset>
                </wp:positionV>
                <wp:extent cx="1029970" cy="51117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Pr="0030641E" w:rsidRDefault="00975744" w:rsidP="00E72FED">
                            <w:pPr>
                              <w:rPr>
                                <w:lang w:val="fr-CH"/>
                              </w:rPr>
                            </w:pPr>
                            <w:r>
                              <w:rPr>
                                <w:sz w:val="16"/>
                                <w:szCs w:val="16"/>
                                <w:lang w:val="fr-CH"/>
                              </w:rPr>
                              <w:t>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AC1C0" id="_x0000_s1032" type="#_x0000_t202" style="position:absolute;left:0;text-align:left;margin-left:197.55pt;margin-top:215.75pt;width:81.1pt;height:40.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" filled="f" stroked="f">
                <v:textbox>
                  <w:txbxContent>
                    <w:p w:rsidR="00975744" w:rsidRPr="0030641E" w:rsidRDefault="00975744" w:rsidP="00E72FED">
                      <w:pPr>
                        <w:rPr>
                          <w:lang w:val="fr-CH"/>
                        </w:rPr>
                      </w:pPr>
                      <w:r>
                        <w:rPr>
                          <w:sz w:val="16"/>
                          <w:szCs w:val="16"/>
                          <w:lang w:val="fr-CH"/>
                        </w:rPr>
                        <w:t>1.18</w:t>
                      </w:r>
                    </w:p>
                  </w:txbxContent>
                </v:textbox>
                <w10:wrap anchorx="margin"/>
              </v:shape>
            </w:pict>
          </mc:Fallback>
        </mc:AlternateContent>
      </w:r>
      <w:r w:rsidRPr="0030641E">
        <w:rPr>
          <w:noProof/>
          <w:lang w:val="fr-CH" w:eastAsia="fr-CH"/>
        </w:rPr>
        <mc:AlternateContent>
          <mc:Choice Requires="wps">
            <w:drawing>
              <wp:anchor distT="45720" distB="45720" distL="114300" distR="114300" simplePos="0" relativeHeight="251666944" behindDoc="0" locked="0" layoutInCell="1" allowOverlap="1" wp14:anchorId="5B9B962D" wp14:editId="7ADD2851">
                <wp:simplePos x="0" y="0"/>
                <wp:positionH relativeFrom="margin">
                  <wp:posOffset>2268449</wp:posOffset>
                </wp:positionH>
                <wp:positionV relativeFrom="paragraph">
                  <wp:posOffset>2931490</wp:posOffset>
                </wp:positionV>
                <wp:extent cx="1029970" cy="51117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1175"/>
                        </a:xfrm>
                        <a:prstGeom prst="rect">
                          <a:avLst/>
                        </a:prstGeom>
                        <a:noFill/>
                        <a:ln w="9525">
                          <a:noFill/>
                          <a:miter lim="800000"/>
                          <a:headEnd/>
                          <a:tailEnd/>
                        </a:ln>
                      </wps:spPr>
                      <wps:txbx>
                        <w:txbxContent>
                          <w:p w:rsidR="00975744" w:rsidRPr="0030641E" w:rsidRDefault="00975744" w:rsidP="00E72FED">
                            <w:pPr>
                              <w:rPr>
                                <w:lang w:val="fr-CH"/>
                              </w:rPr>
                            </w:pPr>
                            <w:r>
                              <w:rPr>
                                <w:sz w:val="16"/>
                                <w:szCs w:val="16"/>
                                <w:lang w:val="fr-CH"/>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B962D" id="_x0000_s1033" type="#_x0000_t202" style="position:absolute;left:0;text-align:left;margin-left:178.6pt;margin-top:230.85pt;width:81.1pt;height:40.2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" filled="f" stroked="f">
                <v:textbox>
                  <w:txbxContent>
                    <w:p w:rsidR="00975744" w:rsidRPr="0030641E" w:rsidRDefault="00975744" w:rsidP="00E72FED">
                      <w:pPr>
                        <w:rPr>
                          <w:lang w:val="fr-CH"/>
                        </w:rPr>
                      </w:pPr>
                      <w:r>
                        <w:rPr>
                          <w:sz w:val="16"/>
                          <w:szCs w:val="16"/>
                          <w:lang w:val="fr-CH"/>
                        </w:rPr>
                        <w:t>1.11</w:t>
                      </w:r>
                    </w:p>
                  </w:txbxContent>
                </v:textbox>
                <w10:wrap anchorx="margin"/>
              </v:shape>
            </w:pict>
          </mc:Fallback>
        </mc:AlternateContent>
      </w:r>
      <w:r w:rsidR="00E72FED" w:rsidRPr="0030641E">
        <w:rPr>
          <w:noProof/>
          <w:lang w:val="fr-CH" w:eastAsia="fr-CH"/>
        </w:rPr>
        <w:drawing>
          <wp:inline distT="0" distB="0" distL="0" distR="0" wp14:anchorId="3D2D2163" wp14:editId="07669C2C">
            <wp:extent cx="3135600" cy="3844800"/>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5600" cy="3844800"/>
                    </a:xfrm>
                    <a:prstGeom prst="rect">
                      <a:avLst/>
                    </a:prstGeom>
                    <a:noFill/>
                  </pic:spPr>
                </pic:pic>
              </a:graphicData>
            </a:graphic>
          </wp:inline>
        </w:drawing>
      </w:r>
    </w:p>
    <w:p w:rsidR="00E72FED" w:rsidRPr="00924C4E" w:rsidRDefault="00E72FED" w:rsidP="00E72FED">
      <w:pPr>
        <w:pStyle w:val="Caption"/>
        <w:spacing w:line="360" w:lineRule="auto"/>
        <w:jc w:val="center"/>
        <w:rPr>
          <w:b w:val="0"/>
          <w:sz w:val="22"/>
        </w:rPr>
      </w:pPr>
      <w:bookmarkStart w:id="19" w:name="_Ref333537386"/>
      <w:r w:rsidRPr="00924C4E">
        <w:rPr>
          <w:b w:val="0"/>
          <w:sz w:val="22"/>
        </w:rPr>
        <w:t xml:space="preserve">Figure </w:t>
      </w:r>
      <w:bookmarkEnd w:id="19"/>
      <w:r w:rsidR="00614DC9">
        <w:rPr>
          <w:b w:val="0"/>
          <w:sz w:val="22"/>
        </w:rPr>
        <w:t>4</w:t>
      </w:r>
      <w:r w:rsidRPr="00924C4E">
        <w:rPr>
          <w:b w:val="0"/>
          <w:sz w:val="22"/>
        </w:rPr>
        <w:t xml:space="preserve"> 2g size simulation results – Electricty generation and steam demand in sm-ff scenarios</w:t>
      </w:r>
    </w:p>
    <w:p w:rsidR="00E72FED" w:rsidRDefault="00E72FED" w:rsidP="00E72FED">
      <w:pPr>
        <w:spacing w:line="360" w:lineRule="auto"/>
      </w:pPr>
      <w:r w:rsidRPr="00236F8D">
        <w:t xml:space="preserve">A complete analysis could not be made until economic and other environmental aspects were considered. For this purpose, the values obtained by Aspen Plus process simulator were used to perform LCA.  </w:t>
      </w:r>
    </w:p>
    <w:p w:rsidR="00E72FED" w:rsidRPr="00712C88" w:rsidRDefault="00E72FED" w:rsidP="00E72FED">
      <w:pPr>
        <w:pStyle w:val="Heading3"/>
        <w:spacing w:line="360" w:lineRule="auto"/>
      </w:pPr>
      <w:bookmarkStart w:id="20" w:name="_Toc420667401"/>
      <w:r w:rsidRPr="00712C88">
        <w:t>Life cycle assessment (LCA) of sugarcane integrated biorefinery</w:t>
      </w:r>
      <w:bookmarkEnd w:id="20"/>
    </w:p>
    <w:p w:rsidR="00614DC9" w:rsidRDefault="00E72FED" w:rsidP="00E72FED">
      <w:pPr>
        <w:spacing w:line="360" w:lineRule="auto"/>
      </w:pPr>
      <w:r w:rsidRPr="0030641E">
        <w:fldChar w:fldCharType="begin"/>
      </w:r>
      <w:r w:rsidRPr="00236F8D">
        <w:instrText xml:space="preserve"> REF _Ref329771363 \h  \* MERGEFORMAT </w:instrText>
      </w:r>
      <w:r w:rsidRPr="0030641E">
        <w:fldChar w:fldCharType="separate"/>
      </w:r>
      <w:r w:rsidRPr="00236F8D">
        <w:t>Figure</w:t>
      </w:r>
      <w:r w:rsidRPr="0030641E">
        <w:t>s</w:t>
      </w:r>
      <w:r w:rsidRPr="00236F8D">
        <w:t xml:space="preserve"> </w:t>
      </w:r>
      <w:r w:rsidRPr="0030641E">
        <w:fldChar w:fldCharType="end"/>
      </w:r>
      <w:r w:rsidR="00614DC9">
        <w:t>5</w:t>
      </w:r>
      <w:r w:rsidRPr="00236F8D">
        <w:t xml:space="preserve"> and </w:t>
      </w:r>
      <w:r w:rsidR="00614DC9">
        <w:t>6</w:t>
      </w:r>
      <w:r w:rsidRPr="00236F8D">
        <w:t xml:space="preserve"> show the life cycle impact assessment (LCIA) results for the ReCiPe categories distributed across agricultural operations in the sugarcane production process.</w:t>
      </w:r>
      <w:r>
        <w:t xml:space="preserve"> A</w:t>
      </w:r>
      <w:r w:rsidRPr="00236F8D">
        <w:t xml:space="preserve"> high impact of agricultural inputs can be observed in every graph, especially those incurred by fertilizer production and application. Herbicides, pesticides and fungicides have more impact on human and fresh water eco toxicity categories. </w:t>
      </w:r>
    </w:p>
    <w:p w:rsidR="00E72FED" w:rsidRPr="00236F8D" w:rsidRDefault="00E72FED" w:rsidP="00E72FED">
      <w:pPr>
        <w:spacing w:line="360" w:lineRule="auto"/>
      </w:pPr>
      <w:r w:rsidRPr="00236F8D">
        <w:t xml:space="preserve">Cane burning is a source of particulate emissions in the air. </w:t>
      </w:r>
      <w:r w:rsidR="00614DC9">
        <w:t>It</w:t>
      </w:r>
      <w:r w:rsidRPr="00236F8D">
        <w:t xml:space="preserve"> has a considerable impact in the climate change category due to N</w:t>
      </w:r>
      <w:r w:rsidRPr="00236F8D">
        <w:rPr>
          <w:vertAlign w:val="subscript"/>
        </w:rPr>
        <w:t>2</w:t>
      </w:r>
      <w:r w:rsidRPr="00236F8D">
        <w:t xml:space="preserve">O and methane emissions. Thus, it was expected a higher impact on human toxicity, however, due to the fact that these emissions are assumed to take place in low population areas, the impact is reduced. </w:t>
      </w:r>
      <w:r w:rsidR="00614DC9">
        <w:t>In addition, f</w:t>
      </w:r>
      <w:r w:rsidRPr="00236F8D">
        <w:t>ield burnings are generally scheduled according to meteorological data in order to minimize the impact in nearby urban centers.  According to the egalitarian approach chosen for long-term impacts, methane, NO</w:t>
      </w:r>
      <w:r w:rsidRPr="00236F8D">
        <w:rPr>
          <w:vertAlign w:val="subscript"/>
        </w:rPr>
        <w:t>X</w:t>
      </w:r>
      <w:r w:rsidRPr="00236F8D">
        <w:t xml:space="preserve"> and N</w:t>
      </w:r>
      <w:r w:rsidRPr="00236F8D">
        <w:rPr>
          <w:vertAlign w:val="subscript"/>
        </w:rPr>
        <w:t>2</w:t>
      </w:r>
      <w:r w:rsidRPr="00236F8D">
        <w:t xml:space="preserve">O </w:t>
      </w:r>
      <w:r w:rsidRPr="00236F8D">
        <w:lastRenderedPageBreak/>
        <w:t xml:space="preserve">emissions due to cane burning have also an important impact in the fresh water eutrophication category. A phase-out of this practice will significantly reduce the environmental impact of the process. </w:t>
      </w:r>
    </w:p>
    <w:p w:rsidR="00E72FED" w:rsidRPr="00236F8D" w:rsidRDefault="00E72FED" w:rsidP="00E72FED">
      <w:pPr>
        <w:keepNext/>
        <w:spacing w:line="360" w:lineRule="auto"/>
        <w:jc w:val="center"/>
      </w:pPr>
      <w:r w:rsidRPr="0030641E">
        <w:rPr>
          <w:noProof/>
          <w:lang w:val="fr-CH" w:eastAsia="fr-CH"/>
        </w:rPr>
        <w:drawing>
          <wp:inline distT="0" distB="0" distL="0" distR="0" wp14:anchorId="06820939" wp14:editId="45A87CE4">
            <wp:extent cx="5389200" cy="3240000"/>
            <wp:effectExtent l="0" t="0" r="254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9200" cy="3240000"/>
                    </a:xfrm>
                    <a:prstGeom prst="rect">
                      <a:avLst/>
                    </a:prstGeom>
                    <a:noFill/>
                  </pic:spPr>
                </pic:pic>
              </a:graphicData>
            </a:graphic>
          </wp:inline>
        </w:drawing>
      </w:r>
    </w:p>
    <w:p w:rsidR="00E72FED" w:rsidRPr="00236F8D" w:rsidRDefault="00E72FED" w:rsidP="00614DC9">
      <w:pPr>
        <w:pStyle w:val="Caption"/>
        <w:spacing w:line="360" w:lineRule="auto"/>
        <w:jc w:val="center"/>
      </w:pPr>
      <w:bookmarkStart w:id="21" w:name="_Ref329771363"/>
      <w:r w:rsidRPr="00924C4E">
        <w:rPr>
          <w:b w:val="0"/>
          <w:sz w:val="22"/>
          <w:szCs w:val="22"/>
        </w:rPr>
        <w:t xml:space="preserve">Figure </w:t>
      </w:r>
      <w:bookmarkEnd w:id="21"/>
      <w:r w:rsidR="00614DC9">
        <w:rPr>
          <w:b w:val="0"/>
          <w:sz w:val="22"/>
          <w:szCs w:val="22"/>
        </w:rPr>
        <w:t>5</w:t>
      </w:r>
      <w:r w:rsidRPr="00924C4E">
        <w:rPr>
          <w:b w:val="0"/>
          <w:noProof/>
          <w:sz w:val="22"/>
          <w:szCs w:val="22"/>
        </w:rPr>
        <w:t xml:space="preserve"> </w:t>
      </w:r>
      <w:r w:rsidRPr="00924C4E">
        <w:rPr>
          <w:b w:val="0"/>
          <w:sz w:val="22"/>
          <w:szCs w:val="22"/>
        </w:rPr>
        <w:t>Distribution of LCIA of sugarcane production according to climate change, fossil and mineral depletion categories.</w:t>
      </w:r>
      <w:r w:rsidRPr="0030641E">
        <w:rPr>
          <w:noProof/>
          <w:lang w:val="fr-CH" w:eastAsia="fr-CH"/>
        </w:rPr>
        <w:drawing>
          <wp:inline distT="0" distB="0" distL="0" distR="0" wp14:anchorId="6BCBFE9B" wp14:editId="0BF380F7">
            <wp:extent cx="5943600" cy="354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549600"/>
                    </a:xfrm>
                    <a:prstGeom prst="rect">
                      <a:avLst/>
                    </a:prstGeom>
                    <a:noFill/>
                  </pic:spPr>
                </pic:pic>
              </a:graphicData>
            </a:graphic>
          </wp:inline>
        </w:drawing>
      </w:r>
    </w:p>
    <w:p w:rsidR="00E72FED" w:rsidRPr="00924C4E" w:rsidRDefault="00E72FED" w:rsidP="00E72FED">
      <w:pPr>
        <w:pStyle w:val="Caption"/>
        <w:spacing w:line="360" w:lineRule="auto"/>
        <w:rPr>
          <w:b w:val="0"/>
          <w:sz w:val="22"/>
          <w:szCs w:val="22"/>
        </w:rPr>
      </w:pPr>
      <w:r w:rsidRPr="00924C4E">
        <w:rPr>
          <w:b w:val="0"/>
          <w:sz w:val="22"/>
          <w:szCs w:val="22"/>
        </w:rPr>
        <w:lastRenderedPageBreak/>
        <w:t xml:space="preserve">Figure </w:t>
      </w:r>
      <w:r w:rsidR="00614DC9">
        <w:rPr>
          <w:b w:val="0"/>
          <w:sz w:val="22"/>
          <w:szCs w:val="22"/>
        </w:rPr>
        <w:t>6</w:t>
      </w:r>
      <w:r w:rsidRPr="00924C4E">
        <w:rPr>
          <w:b w:val="0"/>
          <w:sz w:val="22"/>
          <w:szCs w:val="22"/>
        </w:rPr>
        <w:t xml:space="preserve"> Distribution of LCIA of sugarcane production according to HUMAN TOXICITY, FRESHWATER ECOTOXICITY AND EUTROPHICATION, TERRESTRIAL ACIDIFICATION categories.</w:t>
      </w:r>
    </w:p>
    <w:p w:rsidR="00E72FED" w:rsidRDefault="00E72FED" w:rsidP="00E72FED">
      <w:pPr>
        <w:keepNext/>
        <w:spacing w:line="360" w:lineRule="auto"/>
      </w:pPr>
      <w:r w:rsidRPr="00236F8D">
        <w:t>The Brazilian Sugarcane Industry Association (UNICA) has signed a protocol to gradually phase-out cane</w:t>
      </w:r>
      <w:r w:rsidRPr="004232F9">
        <w:t xml:space="preserve"> </w:t>
      </w:r>
      <w:r w:rsidRPr="00236F8D">
        <w:t xml:space="preserve">trash burning until 2014 </w:t>
      </w:r>
      <w:r>
        <w:t>in “mechanizable areas”, and 2017</w:t>
      </w:r>
      <w:r w:rsidRPr="00236F8D">
        <w:t xml:space="preserve"> in non-</w:t>
      </w:r>
      <w:r w:rsidRPr="007E1A67">
        <w:t xml:space="preserve">mechanizable areas </w:t>
      </w:r>
      <w:r w:rsidRPr="007E1A67">
        <w:fldChar w:fldCharType="begin"/>
      </w:r>
      <w:r w:rsidRPr="007E1A67">
        <w:instrText xml:space="preserve"> ADDIN EN.CITE &lt;EndNote&gt;&lt;Cite&gt;&lt;Author&gt;Macedo&lt;/Author&gt;&lt;Year&gt;2008&lt;/Year&gt;&lt;RecNum&gt;48&lt;/RecNum&gt;&lt;record&gt;&lt;rec-number&gt;48&lt;/rec-number&gt;&lt;foreign-keys&gt;&lt;key app="EN" db-id="x52df2s9oz9zp8edrwrp9sefrdzxtfpzfraz"&gt;48&lt;/key&gt;&lt;/foreign-keys&gt;&lt;ref-type name="Journal Article"&gt;17&lt;/ref-type&gt;&lt;contributors&gt;&lt;authors&gt;&lt;author&gt;Macedo, I.C.&lt;/author&gt;&lt;author&gt;Seabra, J.E.A.&lt;/author&gt;&lt;author&gt;Silva, J.E.A.R.&lt;/author&gt;&lt;/authors&gt;&lt;/contributors&gt;&lt;titles&gt;&lt;title&gt;Green house gases emissions in the production and use of ethanol from sugarcane in Brazil: The 2005/2006 averages and a prediction for 2020&lt;/title&gt;&lt;secondary-title&gt;Biomass and Bioenergy&lt;/secondary-title&gt;&lt;/titles&gt;&lt;periodical&gt;&lt;full-title&gt;Biomass and Bioenergy&lt;/full-title&gt;&lt;/periodical&gt;&lt;pages&gt;582-595&lt;/pages&gt;&lt;volume&gt;32&lt;/volume&gt;&lt;number&gt;7&lt;/number&gt;&lt;dates&gt;&lt;year&gt;2008&lt;/year&gt;&lt;/dates&gt;&lt;isbn&gt;0961-9534&lt;/isbn&gt;&lt;urls&gt;&lt;/urls&gt;&lt;/record&gt;&lt;/Cite&gt;&lt;/EndNote&gt;</w:instrText>
      </w:r>
      <w:r w:rsidRPr="007E1A67">
        <w:fldChar w:fldCharType="separate"/>
      </w:r>
      <w:r w:rsidRPr="007E1A67">
        <w:t>(Macedo et al., 2008)</w:t>
      </w:r>
      <w:r w:rsidRPr="007E1A67">
        <w:fldChar w:fldCharType="end"/>
      </w:r>
      <w:r w:rsidRPr="007E1A67">
        <w:t>. Figure</w:t>
      </w:r>
      <w:r w:rsidRPr="00236F8D">
        <w:t xml:space="preserve"> </w:t>
      </w:r>
      <w:r w:rsidR="00614DC9">
        <w:t>7</w:t>
      </w:r>
      <w:r w:rsidRPr="00236F8D">
        <w:t xml:space="preserve"> shows LCIA results for this scenario. A net reduction of GHG emissions and freshwater eutrophication impacts is achieved of 16% and 76% respectively. </w:t>
      </w:r>
    </w:p>
    <w:p w:rsidR="00E72FED" w:rsidRPr="00236F8D" w:rsidRDefault="00E72FED" w:rsidP="00E72FED">
      <w:pPr>
        <w:keepNext/>
        <w:spacing w:line="360" w:lineRule="auto"/>
        <w:jc w:val="center"/>
      </w:pPr>
      <w:r w:rsidRPr="0030641E">
        <w:rPr>
          <w:noProof/>
          <w:lang w:val="fr-CH" w:eastAsia="fr-CH"/>
        </w:rPr>
        <w:drawing>
          <wp:inline distT="0" distB="0" distL="0" distR="0" wp14:anchorId="17A73290" wp14:editId="044B85F3">
            <wp:extent cx="5598000" cy="182880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8000" cy="1828800"/>
                    </a:xfrm>
                    <a:prstGeom prst="rect">
                      <a:avLst/>
                    </a:prstGeom>
                    <a:noFill/>
                  </pic:spPr>
                </pic:pic>
              </a:graphicData>
            </a:graphic>
          </wp:inline>
        </w:drawing>
      </w:r>
    </w:p>
    <w:p w:rsidR="00E72FED" w:rsidRPr="00924C4E" w:rsidRDefault="00E72FED" w:rsidP="00E72FED">
      <w:pPr>
        <w:pStyle w:val="Caption"/>
        <w:spacing w:line="360" w:lineRule="auto"/>
        <w:rPr>
          <w:b w:val="0"/>
          <w:sz w:val="22"/>
        </w:rPr>
      </w:pPr>
      <w:bookmarkStart w:id="22" w:name="_Ref329772173"/>
      <w:r w:rsidRPr="00924C4E">
        <w:rPr>
          <w:b w:val="0"/>
          <w:sz w:val="22"/>
        </w:rPr>
        <w:t xml:space="preserve">Figure </w:t>
      </w:r>
      <w:bookmarkEnd w:id="22"/>
      <w:r w:rsidR="00614DC9">
        <w:rPr>
          <w:b w:val="0"/>
          <w:sz w:val="22"/>
        </w:rPr>
        <w:t>7</w:t>
      </w:r>
      <w:r w:rsidRPr="00924C4E">
        <w:rPr>
          <w:b w:val="0"/>
          <w:sz w:val="22"/>
        </w:rPr>
        <w:t xml:space="preserve"> Distribution of LCIA of sugarcane production according to climate change and FRESHWATER EUTROPHICATION, categories for a scenario of no trash burning.</w:t>
      </w:r>
    </w:p>
    <w:p w:rsidR="00E72FED" w:rsidRPr="00236F8D" w:rsidRDefault="00E72FED" w:rsidP="00E72FED">
      <w:pPr>
        <w:spacing w:line="360" w:lineRule="auto"/>
      </w:pPr>
      <w:r w:rsidRPr="00236F8D">
        <w:t xml:space="preserve">The following graphs show the climate change impact due to the bio-ethanol, sugar, C5 syrup and electricity production in the SM-FF scenario, where 57% bagasse produced in 1G part is fed to the 2G part, and the remaining bagasse is sent to cogeneration along with 50% GHR. The impacts of the products obtained in such scenario are compared with the related functional units. </w:t>
      </w:r>
    </w:p>
    <w:p w:rsidR="00E72FED" w:rsidRPr="00236F8D" w:rsidRDefault="00E72FED" w:rsidP="00E72FED">
      <w:pPr>
        <w:spacing w:line="360" w:lineRule="auto"/>
      </w:pPr>
      <w:r w:rsidRPr="00236F8D">
        <w:t xml:space="preserve">Figure </w:t>
      </w:r>
      <w:r w:rsidR="00614DC9">
        <w:t>8</w:t>
      </w:r>
      <w:r w:rsidRPr="00236F8D">
        <w:t xml:space="preserve"> shows the E85 emissions counted up to the utilization stage. The bio-ethanol presented in the E85 mixture is produced in the SM-FF scenario previously presented. E85 emissions are compared to those released using gasoline in CO</w:t>
      </w:r>
      <w:r w:rsidRPr="00236F8D">
        <w:rPr>
          <w:vertAlign w:val="subscript"/>
        </w:rPr>
        <w:t>2</w:t>
      </w:r>
      <w:r w:rsidRPr="00236F8D">
        <w:t xml:space="preserve"> mass-equivalent terms, taking into account fuel economy </w:t>
      </w:r>
    </w:p>
    <w:p w:rsidR="00E72FED" w:rsidRPr="0030641E" w:rsidRDefault="00E72FED" w:rsidP="00E72FED">
      <w:pPr>
        <w:spacing w:line="360" w:lineRule="auto"/>
        <w:jc w:val="center"/>
      </w:pPr>
      <w:r w:rsidRPr="0030641E">
        <w:rPr>
          <w:noProof/>
          <w:lang w:val="fr-CH" w:eastAsia="fr-CH"/>
        </w:rPr>
        <w:drawing>
          <wp:inline distT="0" distB="0" distL="0" distR="0" wp14:anchorId="605E6144" wp14:editId="1FC64B11">
            <wp:extent cx="3589655" cy="2305634"/>
            <wp:effectExtent l="0" t="0" r="1079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2FED" w:rsidRPr="00924C4E" w:rsidRDefault="00E72FED" w:rsidP="00E72FED">
      <w:pPr>
        <w:pStyle w:val="Caption"/>
        <w:spacing w:line="360" w:lineRule="auto"/>
        <w:jc w:val="center"/>
        <w:rPr>
          <w:b w:val="0"/>
          <w:sz w:val="22"/>
        </w:rPr>
      </w:pPr>
      <w:r w:rsidRPr="00924C4E">
        <w:rPr>
          <w:b w:val="0"/>
          <w:sz w:val="22"/>
        </w:rPr>
        <w:lastRenderedPageBreak/>
        <w:t xml:space="preserve">Figure </w:t>
      </w:r>
      <w:r w:rsidR="00614DC9">
        <w:rPr>
          <w:b w:val="0"/>
          <w:sz w:val="22"/>
        </w:rPr>
        <w:t>8</w:t>
      </w:r>
      <w:r w:rsidRPr="00924C4E">
        <w:rPr>
          <w:b w:val="0"/>
          <w:sz w:val="22"/>
        </w:rPr>
        <w:t xml:space="preserve"> climate change impacts – ethanol product – integrated sugar-mill 2g biorefinery (SM-FF)</w:t>
      </w:r>
    </w:p>
    <w:p w:rsidR="00E72FED" w:rsidRPr="00236F8D" w:rsidRDefault="00E72FED" w:rsidP="00E72FED">
      <w:pPr>
        <w:spacing w:line="360" w:lineRule="auto"/>
      </w:pPr>
      <w:r w:rsidRPr="00236F8D">
        <w:t>It can be observed that about 2kg CO</w:t>
      </w:r>
      <w:r w:rsidRPr="0030641E">
        <w:rPr>
          <w:vertAlign w:val="subscript"/>
        </w:rPr>
        <w:t>2</w:t>
      </w:r>
      <w:r w:rsidRPr="00236F8D">
        <w:t xml:space="preserve"> per kg equivalent released during a vehicle performance can be reduced using E85 instead of gasoline</w:t>
      </w:r>
      <w:r w:rsidRPr="005F21C5">
        <w:t xml:space="preserve">. </w:t>
      </w:r>
    </w:p>
    <w:p w:rsidR="00E72FED" w:rsidRPr="00236F8D" w:rsidRDefault="00E72FED" w:rsidP="00E72FED">
      <w:pPr>
        <w:spacing w:line="360" w:lineRule="auto"/>
        <w:jc w:val="center"/>
      </w:pPr>
      <w:r w:rsidRPr="0030641E">
        <w:rPr>
          <w:noProof/>
          <w:lang w:val="fr-CH" w:eastAsia="fr-CH"/>
        </w:rPr>
        <w:drawing>
          <wp:inline distT="0" distB="0" distL="0" distR="0" wp14:anchorId="153A8B18" wp14:editId="01F6C8E0">
            <wp:extent cx="3432412" cy="1965278"/>
            <wp:effectExtent l="0" t="0" r="15875"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2FED" w:rsidRPr="00924C4E" w:rsidRDefault="00E72FED" w:rsidP="00E72FED">
      <w:pPr>
        <w:pStyle w:val="Caption"/>
        <w:spacing w:line="360" w:lineRule="auto"/>
        <w:jc w:val="center"/>
        <w:rPr>
          <w:b w:val="0"/>
          <w:sz w:val="22"/>
        </w:rPr>
      </w:pPr>
      <w:r w:rsidRPr="00924C4E">
        <w:rPr>
          <w:b w:val="0"/>
          <w:sz w:val="22"/>
        </w:rPr>
        <w:t xml:space="preserve">Figure </w:t>
      </w:r>
      <w:r w:rsidR="00614DC9">
        <w:rPr>
          <w:b w:val="0"/>
          <w:sz w:val="22"/>
        </w:rPr>
        <w:t>9</w:t>
      </w:r>
      <w:r w:rsidRPr="00924C4E">
        <w:rPr>
          <w:b w:val="0"/>
          <w:sz w:val="22"/>
        </w:rPr>
        <w:t xml:space="preserve"> climate change impacts – SUGAR product – integrated sugar-mill 2g biorefinery (SM-FF)</w:t>
      </w:r>
    </w:p>
    <w:p w:rsidR="00E72FED" w:rsidRPr="00236F8D" w:rsidRDefault="00E72FED" w:rsidP="00E72FED">
      <w:pPr>
        <w:spacing w:line="360" w:lineRule="auto"/>
      </w:pPr>
      <w:r w:rsidRPr="00236F8D">
        <w:t xml:space="preserve">Figure </w:t>
      </w:r>
      <w:r w:rsidR="00614DC9">
        <w:t>9</w:t>
      </w:r>
      <w:r w:rsidRPr="00236F8D">
        <w:t xml:space="preserve"> shows less CO</w:t>
      </w:r>
      <w:r w:rsidRPr="0030641E">
        <w:rPr>
          <w:vertAlign w:val="subscript"/>
        </w:rPr>
        <w:t>2</w:t>
      </w:r>
      <w:r w:rsidRPr="00236F8D">
        <w:t xml:space="preserve"> emissions for the production of normal sugar in a conventional sugar mill. In this case, the fertilizer use is the same in both cases. So the main reason associated to the reduction of emissions in the reference system is the higher relative value related to sugar and molasses. This is an economic allocation for sugar, where the price of molasses in the reference system is higher than the price of coproducts in the biorefinery. On the other hand, Figure</w:t>
      </w:r>
      <w:r w:rsidRPr="0030641E">
        <w:t xml:space="preserve"> 1</w:t>
      </w:r>
      <w:r w:rsidR="005F21C5">
        <w:t>0</w:t>
      </w:r>
      <w:r w:rsidRPr="00236F8D">
        <w:t xml:space="preserve"> illustrates no differences between the systems </w:t>
      </w:r>
      <w:r w:rsidR="00AB5AE3">
        <w:t>because both</w:t>
      </w:r>
      <w:r w:rsidR="005F21C5">
        <w:t xml:space="preserve"> processes are </w:t>
      </w:r>
      <w:r w:rsidR="00AB5AE3">
        <w:t>equal</w:t>
      </w:r>
      <w:r w:rsidRPr="00236F8D">
        <w:t>.</w:t>
      </w:r>
    </w:p>
    <w:p w:rsidR="00E72FED" w:rsidRPr="00236F8D" w:rsidRDefault="00E72FED" w:rsidP="00E72FED">
      <w:pPr>
        <w:spacing w:line="360" w:lineRule="auto"/>
        <w:jc w:val="center"/>
      </w:pPr>
      <w:r w:rsidRPr="0030641E">
        <w:rPr>
          <w:noProof/>
          <w:lang w:eastAsia="fr-CH"/>
        </w:rPr>
        <w:t xml:space="preserve"> </w:t>
      </w:r>
      <w:r w:rsidRPr="0030641E">
        <w:rPr>
          <w:noProof/>
          <w:lang w:val="fr-CH" w:eastAsia="fr-CH"/>
        </w:rPr>
        <w:drawing>
          <wp:inline distT="0" distB="0" distL="0" distR="0" wp14:anchorId="7384F2D8" wp14:editId="4E652E86">
            <wp:extent cx="3398292" cy="2094931"/>
            <wp:effectExtent l="0" t="0" r="12065"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2FED" w:rsidRPr="00924C4E" w:rsidRDefault="00E72FED" w:rsidP="00E72FED">
      <w:pPr>
        <w:pStyle w:val="Caption"/>
        <w:spacing w:line="360" w:lineRule="auto"/>
        <w:jc w:val="center"/>
        <w:rPr>
          <w:b w:val="0"/>
          <w:sz w:val="22"/>
        </w:rPr>
      </w:pPr>
      <w:bookmarkStart w:id="23" w:name="_Ref333924431"/>
      <w:r w:rsidRPr="00924C4E">
        <w:rPr>
          <w:b w:val="0"/>
          <w:sz w:val="22"/>
        </w:rPr>
        <w:t xml:space="preserve">Figure </w:t>
      </w:r>
      <w:bookmarkEnd w:id="23"/>
      <w:r w:rsidRPr="00924C4E">
        <w:rPr>
          <w:b w:val="0"/>
          <w:sz w:val="22"/>
        </w:rPr>
        <w:t>1</w:t>
      </w:r>
      <w:r w:rsidR="00614DC9">
        <w:rPr>
          <w:b w:val="0"/>
          <w:sz w:val="22"/>
        </w:rPr>
        <w:t>0</w:t>
      </w:r>
      <w:r w:rsidRPr="00924C4E">
        <w:rPr>
          <w:b w:val="0"/>
          <w:sz w:val="22"/>
        </w:rPr>
        <w:t xml:space="preserve"> cli</w:t>
      </w:r>
      <w:r w:rsidR="005F21C5">
        <w:rPr>
          <w:b w:val="0"/>
          <w:sz w:val="22"/>
        </w:rPr>
        <w:t>mate change impacts – C5 syrup produ</w:t>
      </w:r>
      <w:r w:rsidRPr="00924C4E">
        <w:rPr>
          <w:b w:val="0"/>
          <w:sz w:val="22"/>
        </w:rPr>
        <w:t>ct – integrated sugar-mill 2g biorefinery (SM-FF)</w:t>
      </w:r>
    </w:p>
    <w:p w:rsidR="00E72FED" w:rsidRPr="00236F8D" w:rsidRDefault="00E72FED" w:rsidP="00E72FED">
      <w:pPr>
        <w:spacing w:line="360" w:lineRule="auto"/>
        <w:jc w:val="center"/>
      </w:pPr>
      <w:r w:rsidRPr="0030641E">
        <w:rPr>
          <w:noProof/>
          <w:lang w:eastAsia="fr-CH"/>
        </w:rPr>
        <w:lastRenderedPageBreak/>
        <w:t xml:space="preserve"> </w:t>
      </w:r>
      <w:r w:rsidRPr="0030641E">
        <w:rPr>
          <w:noProof/>
          <w:lang w:val="fr-CH" w:eastAsia="fr-CH"/>
        </w:rPr>
        <w:drawing>
          <wp:inline distT="0" distB="0" distL="0" distR="0" wp14:anchorId="1AB6A45F" wp14:editId="6BCC943F">
            <wp:extent cx="3316406" cy="2060812"/>
            <wp:effectExtent l="0" t="0" r="1778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2FED" w:rsidRPr="00924C4E" w:rsidRDefault="00E72FED" w:rsidP="00E72FED">
      <w:pPr>
        <w:pStyle w:val="Caption"/>
        <w:spacing w:line="360" w:lineRule="auto"/>
        <w:jc w:val="center"/>
        <w:rPr>
          <w:b w:val="0"/>
          <w:sz w:val="22"/>
        </w:rPr>
      </w:pPr>
      <w:r w:rsidRPr="00924C4E">
        <w:rPr>
          <w:b w:val="0"/>
          <w:sz w:val="22"/>
        </w:rPr>
        <w:t>Figure 1</w:t>
      </w:r>
      <w:r w:rsidR="00614DC9">
        <w:rPr>
          <w:b w:val="0"/>
          <w:sz w:val="22"/>
        </w:rPr>
        <w:t>1</w:t>
      </w:r>
      <w:r w:rsidRPr="00924C4E">
        <w:rPr>
          <w:b w:val="0"/>
          <w:sz w:val="22"/>
        </w:rPr>
        <w:t xml:space="preserve"> Climate change impacts – surplus electricity product – integrated sugar-mill 2g biorefinery (SM-FF)</w:t>
      </w:r>
    </w:p>
    <w:p w:rsidR="00E72FED" w:rsidRDefault="00E72FED" w:rsidP="00E72FED">
      <w:pPr>
        <w:spacing w:line="360" w:lineRule="auto"/>
      </w:pPr>
    </w:p>
    <w:p w:rsidR="00E72FED" w:rsidRPr="00236F8D" w:rsidRDefault="00E72FED" w:rsidP="00E72FED">
      <w:pPr>
        <w:spacing w:line="360" w:lineRule="auto"/>
      </w:pPr>
      <w:r w:rsidRPr="00236F8D">
        <w:t>Figure 1</w:t>
      </w:r>
      <w:r w:rsidR="00614DC9">
        <w:t>1</w:t>
      </w:r>
      <w:r w:rsidRPr="00236F8D">
        <w:t xml:space="preserve"> shows a light reduction in the GHG emissions for the biorefinery</w:t>
      </w:r>
      <w:r w:rsidR="00AB5AE3">
        <w:t xml:space="preserve"> against its </w:t>
      </w:r>
      <w:r w:rsidRPr="00236F8D">
        <w:t xml:space="preserve">reference unit. This behavior can be explained by the fact that Brazilian supply mix is predominantly hydroelectric (76.9%) but the rest is supplied mainly by imports (8.1%), biomass generation (5.4%) and thermoelectrical power plants, including natural gas-fired -(2.6%) and nuclear (2.5%) plants </w:t>
      </w:r>
      <w:r w:rsidRPr="0030641E">
        <w:fldChar w:fldCharType="begin"/>
      </w:r>
      <w:r w:rsidRPr="00236F8D">
        <w:instrText xml:space="preserve"> ADDIN EN.CITE &lt;EndNote&gt;&lt;Cite&gt;&lt;Author&gt;EPE&lt;/Author&gt;&lt;Year&gt;2010&lt;/Year&gt;&lt;RecNum&gt;76&lt;/RecNum&gt;&lt;record&gt;&lt;rec-number&gt;76&lt;/rec-number&gt;&lt;foreign-keys&gt;&lt;key app="EN" db-id="x52df2s9oz9zp8edrwrp9sefrdzxtfpzfraz"&gt;76&lt;/key&gt;&lt;/foreign-keys&gt;&lt;ref-type name="Report"&gt;27&lt;/ref-type&gt;&lt;contributors&gt;&lt;authors&gt;&lt;author&gt;EPE&lt;/author&gt;&lt;/authors&gt;&lt;/contributors&gt;&lt;titles&gt;&lt;title&gt;EPE — Energy Research Company Brazilian Energy Balance2010 — Full Data Series&lt;/title&gt;&lt;/titles&gt;&lt;dates&gt;&lt;year&gt;2010&lt;/year&gt;&lt;/dates&gt;&lt;urls&gt;&lt;related-urls&gt;&lt;url&gt;https://ben.epe.gov.br/BENSeriesCompletas.aspx Retrieved December 22, 2010&lt;/url&gt;&lt;/related-urls&gt;&lt;/urls&gt;&lt;/record&gt;&lt;/Cite&gt;&lt;/EndNote&gt;</w:instrText>
      </w:r>
      <w:r w:rsidRPr="0030641E">
        <w:fldChar w:fldCharType="separate"/>
      </w:r>
      <w:r w:rsidRPr="00236F8D">
        <w:t>(EPE, 2010)</w:t>
      </w:r>
      <w:r w:rsidRPr="0030641E">
        <w:fldChar w:fldCharType="end"/>
      </w:r>
      <w:r w:rsidRPr="00236F8D">
        <w:t>. As shown before, the allocation associated to the biorefinery is very low. Therefore the comparison between the electricity generated by the biorefinery and that supplied by the mix provides advantages to the biorefinery in terms of a lower impact.</w:t>
      </w:r>
    </w:p>
    <w:p w:rsidR="00E72FED" w:rsidRPr="00236F8D" w:rsidRDefault="00E72FED" w:rsidP="00E72FED">
      <w:pPr>
        <w:spacing w:line="360" w:lineRule="auto"/>
      </w:pPr>
      <w:r w:rsidRPr="00236F8D">
        <w:t>Nevertheless, taking into account kg of CO</w:t>
      </w:r>
      <w:r w:rsidRPr="0030641E">
        <w:rPr>
          <w:vertAlign w:val="subscript"/>
        </w:rPr>
        <w:t>2</w:t>
      </w:r>
      <w:r w:rsidRPr="00236F8D">
        <w:t xml:space="preserve"> released in the whole system compared to those released in all the reference systems, a net emissions reduction of 37.26 % was achieved.</w:t>
      </w:r>
    </w:p>
    <w:p w:rsidR="00E72FED" w:rsidRPr="00236F8D" w:rsidRDefault="00E72FED" w:rsidP="00E72FED">
      <w:pPr>
        <w:spacing w:line="360" w:lineRule="auto"/>
      </w:pPr>
      <w:r w:rsidRPr="00236F8D">
        <w:t>A similar trend can be observed for the fossil depletion category (</w:t>
      </w:r>
      <w:r>
        <w:t>Figure1</w:t>
      </w:r>
      <w:r w:rsidR="00614DC9">
        <w:t>2</w:t>
      </w:r>
      <w:r w:rsidRPr="00236F8D">
        <w:t>) such as the significant contribution to environmental performance of the ethanol production and the effect of the reference supply mix for the excess electricity sold to the grid. However, in case of sugar production the fossil depletion is not reduced when comparing the biorefinery pathway with its reference system. Results show that the fossil depletion diminishes about 40.5 % when comparing the biorefinery with the reference system.</w:t>
      </w:r>
    </w:p>
    <w:p w:rsidR="00E72FED" w:rsidRPr="0030641E" w:rsidRDefault="00E72FED" w:rsidP="00E72FED">
      <w:pPr>
        <w:spacing w:line="360" w:lineRule="auto"/>
        <w:jc w:val="center"/>
      </w:pPr>
      <w:r w:rsidRPr="0030641E">
        <w:rPr>
          <w:noProof/>
          <w:lang w:val="fr-CH" w:eastAsia="fr-CH"/>
        </w:rPr>
        <w:lastRenderedPageBreak/>
        <w:drawing>
          <wp:inline distT="0" distB="0" distL="0" distR="0" wp14:anchorId="22601685" wp14:editId="5B4CB9DE">
            <wp:extent cx="4993200" cy="35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200" cy="3510000"/>
                    </a:xfrm>
                    <a:prstGeom prst="rect">
                      <a:avLst/>
                    </a:prstGeom>
                    <a:noFill/>
                    <a:ln>
                      <a:noFill/>
                    </a:ln>
                  </pic:spPr>
                </pic:pic>
              </a:graphicData>
            </a:graphic>
          </wp:inline>
        </w:drawing>
      </w:r>
    </w:p>
    <w:p w:rsidR="00E72FED" w:rsidRDefault="00E72FED" w:rsidP="00AB5AE3">
      <w:pPr>
        <w:pStyle w:val="Caption"/>
        <w:spacing w:line="360" w:lineRule="auto"/>
      </w:pPr>
      <w:r w:rsidRPr="00924C4E">
        <w:rPr>
          <w:b w:val="0"/>
          <w:sz w:val="22"/>
        </w:rPr>
        <w:t>Figure 1</w:t>
      </w:r>
      <w:r w:rsidR="00614DC9">
        <w:rPr>
          <w:b w:val="0"/>
          <w:sz w:val="22"/>
        </w:rPr>
        <w:t>2</w:t>
      </w:r>
      <w:r w:rsidRPr="00924C4E">
        <w:rPr>
          <w:b w:val="0"/>
          <w:sz w:val="22"/>
        </w:rPr>
        <w:t xml:space="preserve"> Fossil depletion impacts – (a) ethanol, (b) sugar, (c) feed, (d) surplus electricity products - integrated sugar-mill 2g biorefinery (SM-FF)</w:t>
      </w:r>
    </w:p>
    <w:p w:rsidR="00E72FED" w:rsidRPr="00236F8D" w:rsidRDefault="00E72FED" w:rsidP="00E72FED">
      <w:pPr>
        <w:spacing w:line="360" w:lineRule="auto"/>
      </w:pPr>
      <w:r w:rsidRPr="00236F8D">
        <w:t>In a country like Brazil in which biodiversity protection is a main concern, it is interesting to look at the impact on aquatic ecosystems. Here, biorefinery was evaluated according to the eutrophication impact (</w:t>
      </w:r>
      <w:r w:rsidRPr="0030641E">
        <w:fldChar w:fldCharType="begin"/>
      </w:r>
      <w:r w:rsidRPr="00236F8D">
        <w:instrText xml:space="preserve"> REF _Ref333950138 \h  \* MERGEFORMAT </w:instrText>
      </w:r>
      <w:r w:rsidRPr="0030641E">
        <w:fldChar w:fldCharType="separate"/>
      </w:r>
      <w:r w:rsidRPr="00236F8D">
        <w:t>Figure 1</w:t>
      </w:r>
      <w:r w:rsidRPr="0030641E">
        <w:fldChar w:fldCharType="end"/>
      </w:r>
      <w:r w:rsidR="00614DC9">
        <w:t>3</w:t>
      </w:r>
      <w:r w:rsidRPr="00236F8D">
        <w:t>). Eutrophication increases significantly using a biorefinery compared to the reference system. Increased demand for agricultural inputs is the main cause of this augmentation.  Only the conventional sugar production and the B molasses lead to more eutrophication than the related biorefinery products.</w:t>
      </w:r>
    </w:p>
    <w:p w:rsidR="00E72FED" w:rsidRPr="00236F8D" w:rsidRDefault="00E72FED" w:rsidP="00E72FED">
      <w:pPr>
        <w:spacing w:line="360" w:lineRule="auto"/>
        <w:jc w:val="center"/>
      </w:pPr>
      <w:r w:rsidRPr="0030641E">
        <w:rPr>
          <w:noProof/>
          <w:lang w:val="fr-CH" w:eastAsia="fr-CH"/>
        </w:rPr>
        <w:lastRenderedPageBreak/>
        <mc:AlternateContent>
          <mc:Choice Requires="wps">
            <w:drawing>
              <wp:anchor distT="0" distB="0" distL="114300" distR="114300" simplePos="0" relativeHeight="251650560" behindDoc="0" locked="0" layoutInCell="1" allowOverlap="1" wp14:anchorId="2983536A" wp14:editId="2E23D436">
                <wp:simplePos x="0" y="0"/>
                <wp:positionH relativeFrom="column">
                  <wp:posOffset>4570598</wp:posOffset>
                </wp:positionH>
                <wp:positionV relativeFrom="paragraph">
                  <wp:posOffset>3408720</wp:posOffset>
                </wp:positionV>
                <wp:extent cx="151465" cy="106154"/>
                <wp:effectExtent l="0" t="0" r="1270" b="8255"/>
                <wp:wrapNone/>
                <wp:docPr id="10" name="Rectangle 10"/>
                <wp:cNvGraphicFramePr/>
                <a:graphic xmlns:a="http://schemas.openxmlformats.org/drawingml/2006/main">
                  <a:graphicData uri="http://schemas.microsoft.com/office/word/2010/wordprocessingShape">
                    <wps:wsp>
                      <wps:cNvSpPr/>
                      <wps:spPr>
                        <a:xfrm>
                          <a:off x="0" y="0"/>
                          <a:ext cx="151465" cy="106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0A119" id="Rectangle 10" o:spid="_x0000_s1026" style="position:absolute;margin-left:359.9pt;margin-top:268.4pt;width:11.95pt;height:8.3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" fillcolor="white [3212]" stroked="f" strokeweight="1.5pt"/>
            </w:pict>
          </mc:Fallback>
        </mc:AlternateContent>
      </w:r>
      <w:r w:rsidRPr="0030641E">
        <w:rPr>
          <w:noProof/>
          <w:lang w:val="fr-CH" w:eastAsia="fr-CH"/>
        </w:rPr>
        <w:drawing>
          <wp:inline distT="0" distB="0" distL="0" distR="0" wp14:anchorId="2F90F921" wp14:editId="67B234D6">
            <wp:extent cx="6010275" cy="366555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6283" cy="3669219"/>
                    </a:xfrm>
                    <a:prstGeom prst="rect">
                      <a:avLst/>
                    </a:prstGeom>
                    <a:noFill/>
                  </pic:spPr>
                </pic:pic>
              </a:graphicData>
            </a:graphic>
          </wp:inline>
        </w:drawing>
      </w:r>
    </w:p>
    <w:p w:rsidR="00E72FED" w:rsidRPr="00924C4E" w:rsidRDefault="00E72FED" w:rsidP="00E72FED">
      <w:pPr>
        <w:pStyle w:val="Caption"/>
        <w:spacing w:line="360" w:lineRule="auto"/>
        <w:jc w:val="center"/>
        <w:rPr>
          <w:b w:val="0"/>
          <w:sz w:val="22"/>
        </w:rPr>
      </w:pPr>
      <w:bookmarkStart w:id="24" w:name="_Ref333950135"/>
      <w:r w:rsidRPr="00924C4E">
        <w:rPr>
          <w:b w:val="0"/>
          <w:sz w:val="22"/>
        </w:rPr>
        <w:t xml:space="preserve">Figure </w:t>
      </w:r>
      <w:bookmarkEnd w:id="24"/>
      <w:r w:rsidRPr="00924C4E">
        <w:rPr>
          <w:b w:val="0"/>
          <w:sz w:val="22"/>
        </w:rPr>
        <w:t>1</w:t>
      </w:r>
      <w:r w:rsidR="00614DC9">
        <w:rPr>
          <w:b w:val="0"/>
          <w:sz w:val="22"/>
        </w:rPr>
        <w:t>3</w:t>
      </w:r>
      <w:r w:rsidRPr="00924C4E">
        <w:rPr>
          <w:b w:val="0"/>
          <w:sz w:val="22"/>
        </w:rPr>
        <w:t xml:space="preserve"> Eutrophication impacts integrated sugar-mill 2g biorefinery (SM-FF)</w:t>
      </w:r>
    </w:p>
    <w:p w:rsidR="00E72FED" w:rsidRDefault="00E72FED" w:rsidP="00E72FED">
      <w:pPr>
        <w:spacing w:line="360" w:lineRule="auto"/>
      </w:pPr>
      <w:r w:rsidRPr="00236F8D">
        <w:t>In general it can be concluded that even if biorefinery integration could make sense in terms of economic feasibility and climate change decrease, a deeper insight is needed into the water footprint of the agricultural production phase. In addition, less pollutant and efficient ways of disposing the solid residuals must be envisioned. Biomass gasification could be an alternative to reduce air pollution concerns while providing the plant with necessary energy. It must be mentioned that natural gas will increasingly take a dominant part in the Brazilian energy marginal supply. In that sense, biorefinery advantages could improve in comparison with the reference system.</w:t>
      </w:r>
      <w:r w:rsidRPr="00217A1B">
        <w:t xml:space="preserve"> </w:t>
      </w:r>
    </w:p>
    <w:p w:rsidR="00E72FED" w:rsidRDefault="00E72FED" w:rsidP="00E72FED">
      <w:pPr>
        <w:pStyle w:val="Heading1"/>
        <w:spacing w:line="360" w:lineRule="auto"/>
      </w:pPr>
      <w:bookmarkStart w:id="25" w:name="_Toc420667402"/>
      <w:r>
        <w:t>Main findings and Conclusion</w:t>
      </w:r>
      <w:bookmarkEnd w:id="25"/>
    </w:p>
    <w:p w:rsidR="00E72FED" w:rsidRDefault="00E72FED" w:rsidP="00E72FED">
      <w:pPr>
        <w:pStyle w:val="Footer"/>
        <w:tabs>
          <w:tab w:val="left" w:pos="426"/>
        </w:tabs>
        <w:spacing w:line="360" w:lineRule="auto"/>
        <w:rPr>
          <w:bCs/>
          <w:iCs/>
        </w:rPr>
      </w:pPr>
      <w:r>
        <w:rPr>
          <w:bCs/>
          <w:iCs/>
          <w:lang w:val="en-GB"/>
        </w:rPr>
        <w:t xml:space="preserve">The simulation of an integrated sugar mill or distillery </w:t>
      </w:r>
      <w:r w:rsidR="000475DD">
        <w:rPr>
          <w:bCs/>
          <w:iCs/>
          <w:lang w:val="en-GB"/>
        </w:rPr>
        <w:t>and</w:t>
      </w:r>
      <w:r>
        <w:rPr>
          <w:bCs/>
          <w:iCs/>
          <w:lang w:val="en-GB"/>
        </w:rPr>
        <w:t xml:space="preserve"> a second generation ethanol plant has been achieved using Aspen Plus. Simulation results have been used </w:t>
      </w:r>
      <w:r w:rsidR="00B62A38">
        <w:rPr>
          <w:bCs/>
          <w:iCs/>
          <w:lang w:val="en-GB"/>
        </w:rPr>
        <w:t xml:space="preserve">to compare different scenarios. Fuelling the plant with GHR may lead to achieve the self-sufficiency of the plant as less as electricity production.  </w:t>
      </w:r>
      <w:r w:rsidRPr="00924C4E">
        <w:rPr>
          <w:bCs/>
          <w:iCs/>
          <w:lang w:val="en-GB"/>
        </w:rPr>
        <w:t>The highest GHR consumption was found in the case ED-FF while SM-OF showed the lowest.</w:t>
      </w:r>
      <w:r w:rsidRPr="00924C4E">
        <w:rPr>
          <w:bCs/>
          <w:iCs/>
        </w:rPr>
        <w:t xml:space="preserve"> </w:t>
      </w:r>
      <w:r w:rsidRPr="00924C4E">
        <w:rPr>
          <w:bCs/>
          <w:iCs/>
          <w:lang w:val="en-GB"/>
        </w:rPr>
        <w:t>Compared to the product in the reference system, bioethanol produced from the full process integration showed less impact on climate change and fossil resource depletion.</w:t>
      </w:r>
      <w:r>
        <w:rPr>
          <w:bCs/>
          <w:iCs/>
          <w:lang w:val="en-GB"/>
        </w:rPr>
        <w:t xml:space="preserve"> </w:t>
      </w:r>
      <w:r w:rsidRPr="00924C4E">
        <w:rPr>
          <w:bCs/>
          <w:iCs/>
        </w:rPr>
        <w:t>The results are significantly sensitive to the following factors: allocation factors of the different co-products, agricultural practices (such as cane burning), and reference systems</w:t>
      </w:r>
      <w:r>
        <w:rPr>
          <w:bCs/>
          <w:iCs/>
        </w:rPr>
        <w:t>.</w:t>
      </w:r>
    </w:p>
    <w:p w:rsidR="00B62A38" w:rsidRDefault="00B62A38" w:rsidP="00E72FED">
      <w:pPr>
        <w:pStyle w:val="Footer"/>
        <w:tabs>
          <w:tab w:val="left" w:pos="426"/>
        </w:tabs>
        <w:spacing w:line="360" w:lineRule="auto"/>
        <w:rPr>
          <w:bCs/>
          <w:iCs/>
        </w:rPr>
      </w:pPr>
    </w:p>
    <w:p w:rsidR="00E72FED" w:rsidRDefault="00E72FED" w:rsidP="00E72FED">
      <w:pPr>
        <w:pStyle w:val="Heading1"/>
        <w:spacing w:line="360" w:lineRule="auto"/>
      </w:pPr>
      <w:bookmarkStart w:id="26" w:name="_Toc420667403"/>
      <w:r>
        <w:lastRenderedPageBreak/>
        <w:t>References</w:t>
      </w:r>
      <w:bookmarkEnd w:id="26"/>
    </w:p>
    <w:p w:rsidR="00E72FED" w:rsidRPr="000279E1" w:rsidRDefault="00E72FED" w:rsidP="00E72FED">
      <w:pPr>
        <w:spacing w:line="360" w:lineRule="auto"/>
      </w:pPr>
    </w:p>
    <w:p w:rsidR="00E72FED" w:rsidRDefault="00E72FED" w:rsidP="00B62A38">
      <w:pPr>
        <w:spacing w:line="360" w:lineRule="auto"/>
      </w:pPr>
      <w:r w:rsidRPr="000279E1">
        <w:fldChar w:fldCharType="begin"/>
      </w:r>
      <w:r w:rsidRPr="000279E1">
        <w:instrText xml:space="preserve"> ADDIN EN.REFLIST </w:instrText>
      </w:r>
      <w:r w:rsidRPr="000279E1">
        <w:fldChar w:fldCharType="separate"/>
      </w:r>
      <w:r w:rsidRPr="000279E1">
        <w:t xml:space="preserve">Aden, A., Ruth, K., Ibsen, J., Jechura, K., Neeves, Sheehan, J., Wallace, B., Montague, L., Slayton, A., </w:t>
      </w:r>
      <w:r w:rsidRPr="007544D2">
        <w:t>&amp;</w:t>
      </w:r>
      <w:r>
        <w:t xml:space="preserve"> </w:t>
      </w:r>
      <w:r w:rsidRPr="000279E1">
        <w:t>Lukas, J., 2002. Lignocellulosic Biomass to Ethanol Process Design and Economics Utilizing Co-Current Dilute Acid Prehydrolysis and Enzymatic HydrolysisCurrent and Futuristic Scenarios. [National renewable Energy Laboratory (NREL), US Department of Energy, USA).</w:t>
      </w:r>
      <w:r w:rsidRPr="00971B2F">
        <w:t xml:space="preserve"> </w:t>
      </w:r>
    </w:p>
    <w:p w:rsidR="00E72FED" w:rsidRDefault="00E72FED" w:rsidP="00E72FED">
      <w:pPr>
        <w:spacing w:line="360" w:lineRule="auto"/>
      </w:pPr>
      <w:r w:rsidRPr="00971B2F">
        <w:t>Gnansounou, E.</w:t>
      </w:r>
      <w:r>
        <w:t xml:space="preserve">, </w:t>
      </w:r>
      <w:r w:rsidRPr="00B86BB6">
        <w:t xml:space="preserve">&amp; </w:t>
      </w:r>
      <w:r w:rsidRPr="00971B2F">
        <w:t xml:space="preserve">Dauriat, A., 2010. </w:t>
      </w:r>
      <w:r w:rsidRPr="001069D5">
        <w:t>Techno-economic analysis of lignocellulosic ethanol: A review. Bioresource technology, 101(13), 4980-4991</w:t>
      </w:r>
      <w:r>
        <w:t xml:space="preserve">. </w:t>
      </w:r>
    </w:p>
    <w:p w:rsidR="00E72FED" w:rsidRDefault="00E72FED" w:rsidP="00E72FED">
      <w:pPr>
        <w:spacing w:line="360" w:lineRule="auto"/>
      </w:pPr>
      <w:r>
        <w:t>Kamp, P., 2012. Inbicon Biomass Refinery Cellulosic Ethanol Technology Platforms Growth and Sustainability through Biomass Refining, CHP. Technology Review</w:t>
      </w:r>
      <w:r>
        <w:rPr>
          <w:rStyle w:val="HTMLCite"/>
        </w:rPr>
        <w:t>www.eia.gov/biofuels/workshop/pdf/paul_kamp.pdf</w:t>
      </w:r>
    </w:p>
    <w:p w:rsidR="00E72FED" w:rsidRDefault="00E72FED" w:rsidP="00E72FED">
      <w:pPr>
        <w:spacing w:line="360" w:lineRule="auto"/>
      </w:pPr>
      <w:r w:rsidRPr="000F799D">
        <w:t xml:space="preserve">Larsen, J., Østergaard Petersen, M., Thirup, L., Wen Li, H., &amp; Krogh Iversen, F., 2008. </w:t>
      </w:r>
      <w:r w:rsidRPr="007544D2">
        <w:t>The IBUS process–lignocellulosic bioethanol close to a commercial reality. Chemical Engineering &amp; Technology, 31(5), 765-772.</w:t>
      </w:r>
      <w:r>
        <w:t xml:space="preserve"> </w:t>
      </w:r>
    </w:p>
    <w:p w:rsidR="00E72FED" w:rsidRPr="000279E1" w:rsidRDefault="00E72FED" w:rsidP="00E72FED">
      <w:pPr>
        <w:spacing w:line="360" w:lineRule="auto"/>
      </w:pPr>
      <w:r w:rsidRPr="007544D2">
        <w:t>Macedo, I. C., Seabra, J. E., &amp; Silva, J. E.</w:t>
      </w:r>
      <w:r>
        <w:t xml:space="preserve">, </w:t>
      </w:r>
      <w:r w:rsidRPr="007544D2">
        <w:t>2008. Greenhouse gases emissions in the production and use of ethanol from sugarcane in Brazil: The 2005/2006 averages and a prediction for 2020. Biomass and bioenergy, 32(7), 582-595</w:t>
      </w:r>
      <w:r>
        <w:t>.</w:t>
      </w:r>
      <w:r w:rsidRPr="000279E1">
        <w:fldChar w:fldCharType="end"/>
      </w:r>
    </w:p>
    <w:p w:rsidR="00E72FED" w:rsidRPr="000279E1" w:rsidRDefault="00E72FED" w:rsidP="00E72FED">
      <w:pPr>
        <w:spacing w:line="360" w:lineRule="auto"/>
      </w:pPr>
    </w:p>
    <w:p w:rsidR="00E72FED" w:rsidRPr="000279E1" w:rsidRDefault="00E72FED" w:rsidP="00E72FED">
      <w:pPr>
        <w:spacing w:line="360" w:lineRule="auto"/>
      </w:pPr>
    </w:p>
    <w:p w:rsidR="00E72FED" w:rsidRDefault="00E72FED" w:rsidP="00E72FED">
      <w:pPr>
        <w:spacing w:line="360" w:lineRule="auto"/>
      </w:pPr>
    </w:p>
    <w:p w:rsidR="00E72FED" w:rsidRDefault="00E72FED" w:rsidP="00AD3988"/>
    <w:sectPr w:rsidR="00E72FED" w:rsidSect="00E5175D">
      <w:headerReference w:type="even" r:id="rId33"/>
      <w:headerReference w:type="default" r:id="rId34"/>
      <w:footerReference w:type="even" r:id="rId35"/>
      <w:footerReference w:type="default" r:id="rId36"/>
      <w:headerReference w:type="first" r:id="rId3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9B3" w:rsidRDefault="006E59B3">
      <w:pPr>
        <w:spacing w:after="0" w:line="240" w:lineRule="auto"/>
      </w:pPr>
      <w:r>
        <w:separator/>
      </w:r>
    </w:p>
  </w:endnote>
  <w:endnote w:type="continuationSeparator" w:id="0">
    <w:p w:rsidR="006E59B3" w:rsidRDefault="006E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HGPGothicE">
    <w:altName w:val="Arial Unicode MS"/>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44" w:rsidRDefault="00975744"/>
  <w:p w:rsidR="00975744" w:rsidRDefault="00975744">
    <w:pPr>
      <w:pStyle w:val="FooterEven"/>
    </w:pPr>
    <w:r>
      <w:t xml:space="preserve">Page </w:t>
    </w:r>
    <w:r>
      <w:rPr>
        <w:szCs w:val="20"/>
      </w:rPr>
      <w:fldChar w:fldCharType="begin"/>
    </w:r>
    <w:r>
      <w:instrText xml:space="preserve"> PAGE   \* MERGEFORMAT </w:instrText>
    </w:r>
    <w:r>
      <w:rPr>
        <w:szCs w:val="20"/>
      </w:rPr>
      <w:fldChar w:fldCharType="separate"/>
    </w:r>
    <w:r w:rsidR="00CA78ED" w:rsidRPr="00CA78ED">
      <w:rPr>
        <w:noProof/>
        <w:sz w:val="24"/>
        <w:szCs w:val="24"/>
      </w:rPr>
      <w:t>4</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44" w:rsidRDefault="00975744"/>
  <w:p w:rsidR="00975744" w:rsidRPr="00C52533" w:rsidRDefault="00975744">
    <w:pPr>
      <w:pStyle w:val="FooterOdd"/>
    </w:pPr>
    <w:r w:rsidRPr="00144428">
      <w:t xml:space="preserve">EPFL-ENAC-INTER-BPE </w:t>
    </w:r>
    <w:r>
      <w:t>–</w:t>
    </w:r>
    <w:r w:rsidRPr="00144428">
      <w:t xml:space="preserve"> Bât</w:t>
    </w:r>
    <w:r>
      <w:t>.</w:t>
    </w:r>
    <w:r w:rsidRPr="00144428">
      <w:t xml:space="preserve"> GC, St</w:t>
    </w:r>
    <w:r>
      <w:t>ation</w:t>
    </w:r>
    <w:r w:rsidRPr="00144428">
      <w:t xml:space="preserve"> 18 -</w:t>
    </w:r>
    <w:r>
      <w:t xml:space="preserve"> </w:t>
    </w:r>
    <w:r w:rsidRPr="00144428">
      <w:t>1015 - Lausanne. Switzerland - +41</w:t>
    </w:r>
    <w:r>
      <w:t xml:space="preserve"> </w:t>
    </w:r>
    <w:r w:rsidRPr="00144428">
      <w:t xml:space="preserve">21 693 06 27 - bpe.epfl.ch </w:t>
    </w:r>
    <w:r>
      <w:t xml:space="preserve">      </w:t>
    </w:r>
    <w:r w:rsidRPr="00144428">
      <w:t xml:space="preserve">Page </w:t>
    </w:r>
    <w:r>
      <w:rPr>
        <w:szCs w:val="20"/>
      </w:rPr>
      <w:fldChar w:fldCharType="begin"/>
    </w:r>
    <w:r w:rsidRPr="00C52533">
      <w:instrText xml:space="preserve"> PAGE   \* MERGEFORMAT </w:instrText>
    </w:r>
    <w:r>
      <w:rPr>
        <w:szCs w:val="20"/>
      </w:rPr>
      <w:fldChar w:fldCharType="separate"/>
    </w:r>
    <w:r w:rsidR="00CA78ED" w:rsidRPr="00CA78ED">
      <w:rPr>
        <w:noProof/>
        <w:sz w:val="24"/>
        <w:szCs w:val="24"/>
      </w:rPr>
      <w:t>19</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9B3" w:rsidRDefault="006E59B3">
      <w:pPr>
        <w:spacing w:after="0" w:line="240" w:lineRule="auto"/>
      </w:pPr>
      <w:r>
        <w:separator/>
      </w:r>
    </w:p>
  </w:footnote>
  <w:footnote w:type="continuationSeparator" w:id="0">
    <w:p w:rsidR="006E59B3" w:rsidRDefault="006E5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44" w:rsidRDefault="00975744">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Pr>
            <w:lang w:val="fr-CH"/>
          </w:rPr>
          <w:t>ProEthanol2g</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44" w:rsidRDefault="00975744">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lang w:val="fr-CH"/>
          </w:rPr>
          <w:t>ProEthanol2g</w:t>
        </w:r>
      </w:sdtContent>
    </w:sdt>
    <w:r w:rsidRPr="00121BFE">
      <w:t xml:space="preserve"> Process Design </w:t>
    </w:r>
    <w:r>
      <w:t>Alternatives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Layout w:type="fixed"/>
      <w:tblCellMar>
        <w:left w:w="80" w:type="dxa"/>
        <w:right w:w="80" w:type="dxa"/>
      </w:tblCellMar>
      <w:tblLook w:val="0000" w:firstRow="0" w:lastRow="0" w:firstColumn="0" w:lastColumn="0" w:noHBand="0" w:noVBand="0"/>
    </w:tblPr>
    <w:tblGrid>
      <w:gridCol w:w="6294"/>
      <w:gridCol w:w="3402"/>
    </w:tblGrid>
    <w:tr w:rsidR="00975744" w:rsidRPr="002D0E89" w:rsidTr="00D75216">
      <w:trPr>
        <w:cantSplit/>
      </w:trPr>
      <w:tc>
        <w:tcPr>
          <w:tcW w:w="6294" w:type="dxa"/>
        </w:tcPr>
        <w:p w:rsidR="00975744" w:rsidRPr="002D0E89" w:rsidRDefault="00975744" w:rsidP="002D0E89">
          <w:pPr>
            <w:tabs>
              <w:tab w:val="left" w:pos="2835"/>
              <w:tab w:val="center" w:pos="4536"/>
              <w:tab w:val="right" w:pos="9072"/>
            </w:tabs>
            <w:spacing w:after="0" w:line="240" w:lineRule="auto"/>
            <w:ind w:right="153"/>
            <w:rPr>
              <w:rFonts w:ascii="Times New Roman" w:eastAsia="Times New Roman" w:hAnsi="Times New Roman"/>
              <w:sz w:val="24"/>
              <w:szCs w:val="24"/>
              <w:lang w:val="fr-CH" w:eastAsia="fr-CH"/>
            </w:rPr>
          </w:pPr>
        </w:p>
      </w:tc>
      <w:tc>
        <w:tcPr>
          <w:tcW w:w="3402" w:type="dxa"/>
        </w:tcPr>
        <w:p w:rsidR="00975744" w:rsidRPr="002D0E89" w:rsidRDefault="00975744" w:rsidP="002D0E89">
          <w:pPr>
            <w:tabs>
              <w:tab w:val="center" w:pos="4536"/>
              <w:tab w:val="left" w:pos="6280"/>
              <w:tab w:val="right" w:pos="9072"/>
            </w:tabs>
            <w:spacing w:after="0" w:line="240" w:lineRule="auto"/>
            <w:ind w:left="-40" w:right="-480"/>
            <w:rPr>
              <w:rFonts w:ascii="Times New Roman" w:eastAsia="Times New Roman" w:hAnsi="Times New Roman"/>
              <w:sz w:val="24"/>
              <w:szCs w:val="24"/>
              <w:lang w:val="fr-CH" w:eastAsia="fr-CH"/>
            </w:rPr>
          </w:pPr>
        </w:p>
      </w:tc>
    </w:tr>
  </w:tbl>
  <w:p w:rsidR="00975744" w:rsidRDefault="00975744" w:rsidP="002D0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38279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53.85pt;height:49.1pt" o:bullet="t">
        <v:imagedata r:id="rId1" o:title="art6A1D"/>
      </v:shape>
    </w:pict>
  </w:numPicBullet>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7D6D6B"/>
    <w:multiLevelType w:val="hybridMultilevel"/>
    <w:tmpl w:val="BD144B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41B1D4A"/>
    <w:multiLevelType w:val="hybridMultilevel"/>
    <w:tmpl w:val="AA5890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A9328D"/>
    <w:multiLevelType w:val="hybridMultilevel"/>
    <w:tmpl w:val="ED44CA28"/>
    <w:lvl w:ilvl="0" w:tplc="1122B996">
      <w:start w:val="1"/>
      <w:numFmt w:val="bullet"/>
      <w:lvlText w:val=""/>
      <w:lvlJc w:val="left"/>
      <w:pPr>
        <w:tabs>
          <w:tab w:val="num" w:pos="720"/>
        </w:tabs>
        <w:ind w:left="720" w:hanging="360"/>
      </w:pPr>
      <w:rPr>
        <w:rFonts w:ascii="Wingdings" w:hAnsi="Wingdings" w:hint="default"/>
      </w:rPr>
    </w:lvl>
    <w:lvl w:ilvl="1" w:tplc="4DD0983C" w:tentative="1">
      <w:start w:val="1"/>
      <w:numFmt w:val="bullet"/>
      <w:lvlText w:val=""/>
      <w:lvlJc w:val="left"/>
      <w:pPr>
        <w:tabs>
          <w:tab w:val="num" w:pos="1440"/>
        </w:tabs>
        <w:ind w:left="1440" w:hanging="360"/>
      </w:pPr>
      <w:rPr>
        <w:rFonts w:ascii="Wingdings" w:hAnsi="Wingdings" w:hint="default"/>
      </w:rPr>
    </w:lvl>
    <w:lvl w:ilvl="2" w:tplc="B4CA54C8" w:tentative="1">
      <w:start w:val="1"/>
      <w:numFmt w:val="bullet"/>
      <w:lvlText w:val=""/>
      <w:lvlJc w:val="left"/>
      <w:pPr>
        <w:tabs>
          <w:tab w:val="num" w:pos="2160"/>
        </w:tabs>
        <w:ind w:left="2160" w:hanging="360"/>
      </w:pPr>
      <w:rPr>
        <w:rFonts w:ascii="Wingdings" w:hAnsi="Wingdings" w:hint="default"/>
      </w:rPr>
    </w:lvl>
    <w:lvl w:ilvl="3" w:tplc="E7869262" w:tentative="1">
      <w:start w:val="1"/>
      <w:numFmt w:val="bullet"/>
      <w:lvlText w:val=""/>
      <w:lvlJc w:val="left"/>
      <w:pPr>
        <w:tabs>
          <w:tab w:val="num" w:pos="2880"/>
        </w:tabs>
        <w:ind w:left="2880" w:hanging="360"/>
      </w:pPr>
      <w:rPr>
        <w:rFonts w:ascii="Wingdings" w:hAnsi="Wingdings" w:hint="default"/>
      </w:rPr>
    </w:lvl>
    <w:lvl w:ilvl="4" w:tplc="487C4142" w:tentative="1">
      <w:start w:val="1"/>
      <w:numFmt w:val="bullet"/>
      <w:lvlText w:val=""/>
      <w:lvlJc w:val="left"/>
      <w:pPr>
        <w:tabs>
          <w:tab w:val="num" w:pos="3600"/>
        </w:tabs>
        <w:ind w:left="3600" w:hanging="360"/>
      </w:pPr>
      <w:rPr>
        <w:rFonts w:ascii="Wingdings" w:hAnsi="Wingdings" w:hint="default"/>
      </w:rPr>
    </w:lvl>
    <w:lvl w:ilvl="5" w:tplc="D55E37BE" w:tentative="1">
      <w:start w:val="1"/>
      <w:numFmt w:val="bullet"/>
      <w:lvlText w:val=""/>
      <w:lvlJc w:val="left"/>
      <w:pPr>
        <w:tabs>
          <w:tab w:val="num" w:pos="4320"/>
        </w:tabs>
        <w:ind w:left="4320" w:hanging="360"/>
      </w:pPr>
      <w:rPr>
        <w:rFonts w:ascii="Wingdings" w:hAnsi="Wingdings" w:hint="default"/>
      </w:rPr>
    </w:lvl>
    <w:lvl w:ilvl="6" w:tplc="C22CB974" w:tentative="1">
      <w:start w:val="1"/>
      <w:numFmt w:val="bullet"/>
      <w:lvlText w:val=""/>
      <w:lvlJc w:val="left"/>
      <w:pPr>
        <w:tabs>
          <w:tab w:val="num" w:pos="5040"/>
        </w:tabs>
        <w:ind w:left="5040" w:hanging="360"/>
      </w:pPr>
      <w:rPr>
        <w:rFonts w:ascii="Wingdings" w:hAnsi="Wingdings" w:hint="default"/>
      </w:rPr>
    </w:lvl>
    <w:lvl w:ilvl="7" w:tplc="4F9447CC" w:tentative="1">
      <w:start w:val="1"/>
      <w:numFmt w:val="bullet"/>
      <w:lvlText w:val=""/>
      <w:lvlJc w:val="left"/>
      <w:pPr>
        <w:tabs>
          <w:tab w:val="num" w:pos="5760"/>
        </w:tabs>
        <w:ind w:left="5760" w:hanging="360"/>
      </w:pPr>
      <w:rPr>
        <w:rFonts w:ascii="Wingdings" w:hAnsi="Wingdings" w:hint="default"/>
      </w:rPr>
    </w:lvl>
    <w:lvl w:ilvl="8" w:tplc="CB62F6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62F67"/>
    <w:multiLevelType w:val="hybridMultilevel"/>
    <w:tmpl w:val="8AC04ED4"/>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43A5EEE"/>
    <w:multiLevelType w:val="hybridMultilevel"/>
    <w:tmpl w:val="3FE245FE"/>
    <w:lvl w:ilvl="0" w:tplc="A67C7C86">
      <w:start w:val="1"/>
      <w:numFmt w:val="bullet"/>
      <w:lvlText w:val=""/>
      <w:lvlJc w:val="left"/>
      <w:pPr>
        <w:tabs>
          <w:tab w:val="num" w:pos="720"/>
        </w:tabs>
        <w:ind w:left="720" w:hanging="360"/>
      </w:pPr>
      <w:rPr>
        <w:rFonts w:ascii="Wingdings" w:hAnsi="Wingdings" w:hint="default"/>
      </w:rPr>
    </w:lvl>
    <w:lvl w:ilvl="1" w:tplc="B2BE9354" w:tentative="1">
      <w:start w:val="1"/>
      <w:numFmt w:val="bullet"/>
      <w:lvlText w:val=""/>
      <w:lvlJc w:val="left"/>
      <w:pPr>
        <w:tabs>
          <w:tab w:val="num" w:pos="1440"/>
        </w:tabs>
        <w:ind w:left="1440" w:hanging="360"/>
      </w:pPr>
      <w:rPr>
        <w:rFonts w:ascii="Wingdings" w:hAnsi="Wingdings" w:hint="default"/>
      </w:rPr>
    </w:lvl>
    <w:lvl w:ilvl="2" w:tplc="629EA50A" w:tentative="1">
      <w:start w:val="1"/>
      <w:numFmt w:val="bullet"/>
      <w:lvlText w:val=""/>
      <w:lvlJc w:val="left"/>
      <w:pPr>
        <w:tabs>
          <w:tab w:val="num" w:pos="2160"/>
        </w:tabs>
        <w:ind w:left="2160" w:hanging="360"/>
      </w:pPr>
      <w:rPr>
        <w:rFonts w:ascii="Wingdings" w:hAnsi="Wingdings" w:hint="default"/>
      </w:rPr>
    </w:lvl>
    <w:lvl w:ilvl="3" w:tplc="EAAA0DB8" w:tentative="1">
      <w:start w:val="1"/>
      <w:numFmt w:val="bullet"/>
      <w:lvlText w:val=""/>
      <w:lvlJc w:val="left"/>
      <w:pPr>
        <w:tabs>
          <w:tab w:val="num" w:pos="2880"/>
        </w:tabs>
        <w:ind w:left="2880" w:hanging="360"/>
      </w:pPr>
      <w:rPr>
        <w:rFonts w:ascii="Wingdings" w:hAnsi="Wingdings" w:hint="default"/>
      </w:rPr>
    </w:lvl>
    <w:lvl w:ilvl="4" w:tplc="A99C75F2" w:tentative="1">
      <w:start w:val="1"/>
      <w:numFmt w:val="bullet"/>
      <w:lvlText w:val=""/>
      <w:lvlJc w:val="left"/>
      <w:pPr>
        <w:tabs>
          <w:tab w:val="num" w:pos="3600"/>
        </w:tabs>
        <w:ind w:left="3600" w:hanging="360"/>
      </w:pPr>
      <w:rPr>
        <w:rFonts w:ascii="Wingdings" w:hAnsi="Wingdings" w:hint="default"/>
      </w:rPr>
    </w:lvl>
    <w:lvl w:ilvl="5" w:tplc="59DA9566" w:tentative="1">
      <w:start w:val="1"/>
      <w:numFmt w:val="bullet"/>
      <w:lvlText w:val=""/>
      <w:lvlJc w:val="left"/>
      <w:pPr>
        <w:tabs>
          <w:tab w:val="num" w:pos="4320"/>
        </w:tabs>
        <w:ind w:left="4320" w:hanging="360"/>
      </w:pPr>
      <w:rPr>
        <w:rFonts w:ascii="Wingdings" w:hAnsi="Wingdings" w:hint="default"/>
      </w:rPr>
    </w:lvl>
    <w:lvl w:ilvl="6" w:tplc="CF6E625E" w:tentative="1">
      <w:start w:val="1"/>
      <w:numFmt w:val="bullet"/>
      <w:lvlText w:val=""/>
      <w:lvlJc w:val="left"/>
      <w:pPr>
        <w:tabs>
          <w:tab w:val="num" w:pos="5040"/>
        </w:tabs>
        <w:ind w:left="5040" w:hanging="360"/>
      </w:pPr>
      <w:rPr>
        <w:rFonts w:ascii="Wingdings" w:hAnsi="Wingdings" w:hint="default"/>
      </w:rPr>
    </w:lvl>
    <w:lvl w:ilvl="7" w:tplc="102A8F32" w:tentative="1">
      <w:start w:val="1"/>
      <w:numFmt w:val="bullet"/>
      <w:lvlText w:val=""/>
      <w:lvlJc w:val="left"/>
      <w:pPr>
        <w:tabs>
          <w:tab w:val="num" w:pos="5760"/>
        </w:tabs>
        <w:ind w:left="5760" w:hanging="360"/>
      </w:pPr>
      <w:rPr>
        <w:rFonts w:ascii="Wingdings" w:hAnsi="Wingdings" w:hint="default"/>
      </w:rPr>
    </w:lvl>
    <w:lvl w:ilvl="8" w:tplc="E154E40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F8267A"/>
    <w:multiLevelType w:val="hybridMultilevel"/>
    <w:tmpl w:val="80A8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1789F"/>
    <w:multiLevelType w:val="hybridMultilevel"/>
    <w:tmpl w:val="73FAB5DC"/>
    <w:lvl w:ilvl="0" w:tplc="3AF65F52">
      <w:start w:val="1"/>
      <w:numFmt w:val="bullet"/>
      <w:lvlText w:val=""/>
      <w:lvlPicBulletId w:val="0"/>
      <w:lvlJc w:val="left"/>
      <w:pPr>
        <w:tabs>
          <w:tab w:val="num" w:pos="720"/>
        </w:tabs>
        <w:ind w:left="720" w:hanging="360"/>
      </w:pPr>
      <w:rPr>
        <w:rFonts w:ascii="Symbol" w:hAnsi="Symbol" w:hint="default"/>
      </w:rPr>
    </w:lvl>
    <w:lvl w:ilvl="1" w:tplc="2A2AFBAA" w:tentative="1">
      <w:start w:val="1"/>
      <w:numFmt w:val="bullet"/>
      <w:lvlText w:val=""/>
      <w:lvlPicBulletId w:val="0"/>
      <w:lvlJc w:val="left"/>
      <w:pPr>
        <w:tabs>
          <w:tab w:val="num" w:pos="1440"/>
        </w:tabs>
        <w:ind w:left="1440" w:hanging="360"/>
      </w:pPr>
      <w:rPr>
        <w:rFonts w:ascii="Symbol" w:hAnsi="Symbol" w:hint="default"/>
      </w:rPr>
    </w:lvl>
    <w:lvl w:ilvl="2" w:tplc="49B4EB0A" w:tentative="1">
      <w:start w:val="1"/>
      <w:numFmt w:val="bullet"/>
      <w:lvlText w:val=""/>
      <w:lvlPicBulletId w:val="0"/>
      <w:lvlJc w:val="left"/>
      <w:pPr>
        <w:tabs>
          <w:tab w:val="num" w:pos="2160"/>
        </w:tabs>
        <w:ind w:left="2160" w:hanging="360"/>
      </w:pPr>
      <w:rPr>
        <w:rFonts w:ascii="Symbol" w:hAnsi="Symbol" w:hint="default"/>
      </w:rPr>
    </w:lvl>
    <w:lvl w:ilvl="3" w:tplc="65328438" w:tentative="1">
      <w:start w:val="1"/>
      <w:numFmt w:val="bullet"/>
      <w:lvlText w:val=""/>
      <w:lvlPicBulletId w:val="0"/>
      <w:lvlJc w:val="left"/>
      <w:pPr>
        <w:tabs>
          <w:tab w:val="num" w:pos="2880"/>
        </w:tabs>
        <w:ind w:left="2880" w:hanging="360"/>
      </w:pPr>
      <w:rPr>
        <w:rFonts w:ascii="Symbol" w:hAnsi="Symbol" w:hint="default"/>
      </w:rPr>
    </w:lvl>
    <w:lvl w:ilvl="4" w:tplc="DC5C6F36" w:tentative="1">
      <w:start w:val="1"/>
      <w:numFmt w:val="bullet"/>
      <w:lvlText w:val=""/>
      <w:lvlPicBulletId w:val="0"/>
      <w:lvlJc w:val="left"/>
      <w:pPr>
        <w:tabs>
          <w:tab w:val="num" w:pos="3600"/>
        </w:tabs>
        <w:ind w:left="3600" w:hanging="360"/>
      </w:pPr>
      <w:rPr>
        <w:rFonts w:ascii="Symbol" w:hAnsi="Symbol" w:hint="default"/>
      </w:rPr>
    </w:lvl>
    <w:lvl w:ilvl="5" w:tplc="FACAAA4C" w:tentative="1">
      <w:start w:val="1"/>
      <w:numFmt w:val="bullet"/>
      <w:lvlText w:val=""/>
      <w:lvlPicBulletId w:val="0"/>
      <w:lvlJc w:val="left"/>
      <w:pPr>
        <w:tabs>
          <w:tab w:val="num" w:pos="4320"/>
        </w:tabs>
        <w:ind w:left="4320" w:hanging="360"/>
      </w:pPr>
      <w:rPr>
        <w:rFonts w:ascii="Symbol" w:hAnsi="Symbol" w:hint="default"/>
      </w:rPr>
    </w:lvl>
    <w:lvl w:ilvl="6" w:tplc="AA56332A" w:tentative="1">
      <w:start w:val="1"/>
      <w:numFmt w:val="bullet"/>
      <w:lvlText w:val=""/>
      <w:lvlPicBulletId w:val="0"/>
      <w:lvlJc w:val="left"/>
      <w:pPr>
        <w:tabs>
          <w:tab w:val="num" w:pos="5040"/>
        </w:tabs>
        <w:ind w:left="5040" w:hanging="360"/>
      </w:pPr>
      <w:rPr>
        <w:rFonts w:ascii="Symbol" w:hAnsi="Symbol" w:hint="default"/>
      </w:rPr>
    </w:lvl>
    <w:lvl w:ilvl="7" w:tplc="2C728206" w:tentative="1">
      <w:start w:val="1"/>
      <w:numFmt w:val="bullet"/>
      <w:lvlText w:val=""/>
      <w:lvlPicBulletId w:val="0"/>
      <w:lvlJc w:val="left"/>
      <w:pPr>
        <w:tabs>
          <w:tab w:val="num" w:pos="5760"/>
        </w:tabs>
        <w:ind w:left="5760" w:hanging="360"/>
      </w:pPr>
      <w:rPr>
        <w:rFonts w:ascii="Symbol" w:hAnsi="Symbol" w:hint="default"/>
      </w:rPr>
    </w:lvl>
    <w:lvl w:ilvl="8" w:tplc="9D30A37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F210B19"/>
    <w:multiLevelType w:val="hybridMultilevel"/>
    <w:tmpl w:val="8AC04ED4"/>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2FD29E2"/>
    <w:multiLevelType w:val="hybridMultilevel"/>
    <w:tmpl w:val="FAFE9C06"/>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A420946"/>
    <w:multiLevelType w:val="hybridMultilevel"/>
    <w:tmpl w:val="FDBE0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F67195"/>
    <w:multiLevelType w:val="hybridMultilevel"/>
    <w:tmpl w:val="6C381E4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3BE760F"/>
    <w:multiLevelType w:val="hybridMultilevel"/>
    <w:tmpl w:val="CF3A9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7BB5BD1"/>
    <w:multiLevelType w:val="hybridMultilevel"/>
    <w:tmpl w:val="4432BF7A"/>
    <w:lvl w:ilvl="0" w:tplc="3A9E17B0">
      <w:start w:val="1"/>
      <w:numFmt w:val="bullet"/>
      <w:lvlText w:val=""/>
      <w:lvlPicBulletId w:val="0"/>
      <w:lvlJc w:val="left"/>
      <w:pPr>
        <w:tabs>
          <w:tab w:val="num" w:pos="720"/>
        </w:tabs>
        <w:ind w:left="720" w:hanging="360"/>
      </w:pPr>
      <w:rPr>
        <w:rFonts w:ascii="Symbol" w:hAnsi="Symbol" w:hint="default"/>
      </w:rPr>
    </w:lvl>
    <w:lvl w:ilvl="1" w:tplc="102011A2" w:tentative="1">
      <w:start w:val="1"/>
      <w:numFmt w:val="bullet"/>
      <w:lvlText w:val=""/>
      <w:lvlPicBulletId w:val="0"/>
      <w:lvlJc w:val="left"/>
      <w:pPr>
        <w:tabs>
          <w:tab w:val="num" w:pos="1440"/>
        </w:tabs>
        <w:ind w:left="1440" w:hanging="360"/>
      </w:pPr>
      <w:rPr>
        <w:rFonts w:ascii="Symbol" w:hAnsi="Symbol" w:hint="default"/>
      </w:rPr>
    </w:lvl>
    <w:lvl w:ilvl="2" w:tplc="CBB2E1FA" w:tentative="1">
      <w:start w:val="1"/>
      <w:numFmt w:val="bullet"/>
      <w:lvlText w:val=""/>
      <w:lvlPicBulletId w:val="0"/>
      <w:lvlJc w:val="left"/>
      <w:pPr>
        <w:tabs>
          <w:tab w:val="num" w:pos="2160"/>
        </w:tabs>
        <w:ind w:left="2160" w:hanging="360"/>
      </w:pPr>
      <w:rPr>
        <w:rFonts w:ascii="Symbol" w:hAnsi="Symbol" w:hint="default"/>
      </w:rPr>
    </w:lvl>
    <w:lvl w:ilvl="3" w:tplc="D1100C42" w:tentative="1">
      <w:start w:val="1"/>
      <w:numFmt w:val="bullet"/>
      <w:lvlText w:val=""/>
      <w:lvlPicBulletId w:val="0"/>
      <w:lvlJc w:val="left"/>
      <w:pPr>
        <w:tabs>
          <w:tab w:val="num" w:pos="2880"/>
        </w:tabs>
        <w:ind w:left="2880" w:hanging="360"/>
      </w:pPr>
      <w:rPr>
        <w:rFonts w:ascii="Symbol" w:hAnsi="Symbol" w:hint="default"/>
      </w:rPr>
    </w:lvl>
    <w:lvl w:ilvl="4" w:tplc="A1ACD58E" w:tentative="1">
      <w:start w:val="1"/>
      <w:numFmt w:val="bullet"/>
      <w:lvlText w:val=""/>
      <w:lvlPicBulletId w:val="0"/>
      <w:lvlJc w:val="left"/>
      <w:pPr>
        <w:tabs>
          <w:tab w:val="num" w:pos="3600"/>
        </w:tabs>
        <w:ind w:left="3600" w:hanging="360"/>
      </w:pPr>
      <w:rPr>
        <w:rFonts w:ascii="Symbol" w:hAnsi="Symbol" w:hint="default"/>
      </w:rPr>
    </w:lvl>
    <w:lvl w:ilvl="5" w:tplc="343A198E" w:tentative="1">
      <w:start w:val="1"/>
      <w:numFmt w:val="bullet"/>
      <w:lvlText w:val=""/>
      <w:lvlPicBulletId w:val="0"/>
      <w:lvlJc w:val="left"/>
      <w:pPr>
        <w:tabs>
          <w:tab w:val="num" w:pos="4320"/>
        </w:tabs>
        <w:ind w:left="4320" w:hanging="360"/>
      </w:pPr>
      <w:rPr>
        <w:rFonts w:ascii="Symbol" w:hAnsi="Symbol" w:hint="default"/>
      </w:rPr>
    </w:lvl>
    <w:lvl w:ilvl="6" w:tplc="A9D82DCE" w:tentative="1">
      <w:start w:val="1"/>
      <w:numFmt w:val="bullet"/>
      <w:lvlText w:val=""/>
      <w:lvlPicBulletId w:val="0"/>
      <w:lvlJc w:val="left"/>
      <w:pPr>
        <w:tabs>
          <w:tab w:val="num" w:pos="5040"/>
        </w:tabs>
        <w:ind w:left="5040" w:hanging="360"/>
      </w:pPr>
      <w:rPr>
        <w:rFonts w:ascii="Symbol" w:hAnsi="Symbol" w:hint="default"/>
      </w:rPr>
    </w:lvl>
    <w:lvl w:ilvl="7" w:tplc="A49A5AF8" w:tentative="1">
      <w:start w:val="1"/>
      <w:numFmt w:val="bullet"/>
      <w:lvlText w:val=""/>
      <w:lvlPicBulletId w:val="0"/>
      <w:lvlJc w:val="left"/>
      <w:pPr>
        <w:tabs>
          <w:tab w:val="num" w:pos="5760"/>
        </w:tabs>
        <w:ind w:left="5760" w:hanging="360"/>
      </w:pPr>
      <w:rPr>
        <w:rFonts w:ascii="Symbol" w:hAnsi="Symbol" w:hint="default"/>
      </w:rPr>
    </w:lvl>
    <w:lvl w:ilvl="8" w:tplc="565A1098"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59460A2D"/>
    <w:multiLevelType w:val="hybridMultilevel"/>
    <w:tmpl w:val="1804C724"/>
    <w:lvl w:ilvl="0" w:tplc="59465700">
      <w:start w:val="1"/>
      <w:numFmt w:val="bullet"/>
      <w:lvlText w:val=""/>
      <w:lvlPicBulletId w:val="0"/>
      <w:lvlJc w:val="left"/>
      <w:pPr>
        <w:tabs>
          <w:tab w:val="num" w:pos="720"/>
        </w:tabs>
        <w:ind w:left="720" w:hanging="360"/>
      </w:pPr>
      <w:rPr>
        <w:rFonts w:ascii="Symbol" w:hAnsi="Symbol" w:hint="default"/>
      </w:rPr>
    </w:lvl>
    <w:lvl w:ilvl="1" w:tplc="F64684F4" w:tentative="1">
      <w:start w:val="1"/>
      <w:numFmt w:val="bullet"/>
      <w:lvlText w:val=""/>
      <w:lvlPicBulletId w:val="0"/>
      <w:lvlJc w:val="left"/>
      <w:pPr>
        <w:tabs>
          <w:tab w:val="num" w:pos="1440"/>
        </w:tabs>
        <w:ind w:left="1440" w:hanging="360"/>
      </w:pPr>
      <w:rPr>
        <w:rFonts w:ascii="Symbol" w:hAnsi="Symbol" w:hint="default"/>
      </w:rPr>
    </w:lvl>
    <w:lvl w:ilvl="2" w:tplc="2C54F4F0" w:tentative="1">
      <w:start w:val="1"/>
      <w:numFmt w:val="bullet"/>
      <w:lvlText w:val=""/>
      <w:lvlPicBulletId w:val="0"/>
      <w:lvlJc w:val="left"/>
      <w:pPr>
        <w:tabs>
          <w:tab w:val="num" w:pos="2160"/>
        </w:tabs>
        <w:ind w:left="2160" w:hanging="360"/>
      </w:pPr>
      <w:rPr>
        <w:rFonts w:ascii="Symbol" w:hAnsi="Symbol" w:hint="default"/>
      </w:rPr>
    </w:lvl>
    <w:lvl w:ilvl="3" w:tplc="60BC8A78" w:tentative="1">
      <w:start w:val="1"/>
      <w:numFmt w:val="bullet"/>
      <w:lvlText w:val=""/>
      <w:lvlPicBulletId w:val="0"/>
      <w:lvlJc w:val="left"/>
      <w:pPr>
        <w:tabs>
          <w:tab w:val="num" w:pos="2880"/>
        </w:tabs>
        <w:ind w:left="2880" w:hanging="360"/>
      </w:pPr>
      <w:rPr>
        <w:rFonts w:ascii="Symbol" w:hAnsi="Symbol" w:hint="default"/>
      </w:rPr>
    </w:lvl>
    <w:lvl w:ilvl="4" w:tplc="B2F60382" w:tentative="1">
      <w:start w:val="1"/>
      <w:numFmt w:val="bullet"/>
      <w:lvlText w:val=""/>
      <w:lvlPicBulletId w:val="0"/>
      <w:lvlJc w:val="left"/>
      <w:pPr>
        <w:tabs>
          <w:tab w:val="num" w:pos="3600"/>
        </w:tabs>
        <w:ind w:left="3600" w:hanging="360"/>
      </w:pPr>
      <w:rPr>
        <w:rFonts w:ascii="Symbol" w:hAnsi="Symbol" w:hint="default"/>
      </w:rPr>
    </w:lvl>
    <w:lvl w:ilvl="5" w:tplc="F84C23B0" w:tentative="1">
      <w:start w:val="1"/>
      <w:numFmt w:val="bullet"/>
      <w:lvlText w:val=""/>
      <w:lvlPicBulletId w:val="0"/>
      <w:lvlJc w:val="left"/>
      <w:pPr>
        <w:tabs>
          <w:tab w:val="num" w:pos="4320"/>
        </w:tabs>
        <w:ind w:left="4320" w:hanging="360"/>
      </w:pPr>
      <w:rPr>
        <w:rFonts w:ascii="Symbol" w:hAnsi="Symbol" w:hint="default"/>
      </w:rPr>
    </w:lvl>
    <w:lvl w:ilvl="6" w:tplc="7832BA70" w:tentative="1">
      <w:start w:val="1"/>
      <w:numFmt w:val="bullet"/>
      <w:lvlText w:val=""/>
      <w:lvlPicBulletId w:val="0"/>
      <w:lvlJc w:val="left"/>
      <w:pPr>
        <w:tabs>
          <w:tab w:val="num" w:pos="5040"/>
        </w:tabs>
        <w:ind w:left="5040" w:hanging="360"/>
      </w:pPr>
      <w:rPr>
        <w:rFonts w:ascii="Symbol" w:hAnsi="Symbol" w:hint="default"/>
      </w:rPr>
    </w:lvl>
    <w:lvl w:ilvl="7" w:tplc="EFA07F62" w:tentative="1">
      <w:start w:val="1"/>
      <w:numFmt w:val="bullet"/>
      <w:lvlText w:val=""/>
      <w:lvlPicBulletId w:val="0"/>
      <w:lvlJc w:val="left"/>
      <w:pPr>
        <w:tabs>
          <w:tab w:val="num" w:pos="5760"/>
        </w:tabs>
        <w:ind w:left="5760" w:hanging="360"/>
      </w:pPr>
      <w:rPr>
        <w:rFonts w:ascii="Symbol" w:hAnsi="Symbol" w:hint="default"/>
      </w:rPr>
    </w:lvl>
    <w:lvl w:ilvl="8" w:tplc="65BC56B6"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5B8121C4"/>
    <w:multiLevelType w:val="hybridMultilevel"/>
    <w:tmpl w:val="042A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92A2E"/>
    <w:multiLevelType w:val="hybridMultilevel"/>
    <w:tmpl w:val="EBBC0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946913"/>
    <w:multiLevelType w:val="hybridMultilevel"/>
    <w:tmpl w:val="955C6D70"/>
    <w:lvl w:ilvl="0" w:tplc="D80280A4">
      <w:start w:val="1"/>
      <w:numFmt w:val="bullet"/>
      <w:lvlText w:val=""/>
      <w:lvlJc w:val="left"/>
      <w:pPr>
        <w:tabs>
          <w:tab w:val="num" w:pos="720"/>
        </w:tabs>
        <w:ind w:left="720" w:hanging="360"/>
      </w:pPr>
      <w:rPr>
        <w:rFonts w:ascii="Wingdings" w:hAnsi="Wingdings" w:hint="default"/>
      </w:rPr>
    </w:lvl>
    <w:lvl w:ilvl="1" w:tplc="739456D0" w:tentative="1">
      <w:start w:val="1"/>
      <w:numFmt w:val="bullet"/>
      <w:lvlText w:val=""/>
      <w:lvlJc w:val="left"/>
      <w:pPr>
        <w:tabs>
          <w:tab w:val="num" w:pos="1440"/>
        </w:tabs>
        <w:ind w:left="1440" w:hanging="360"/>
      </w:pPr>
      <w:rPr>
        <w:rFonts w:ascii="Wingdings" w:hAnsi="Wingdings" w:hint="default"/>
      </w:rPr>
    </w:lvl>
    <w:lvl w:ilvl="2" w:tplc="BB622C34" w:tentative="1">
      <w:start w:val="1"/>
      <w:numFmt w:val="bullet"/>
      <w:lvlText w:val=""/>
      <w:lvlJc w:val="left"/>
      <w:pPr>
        <w:tabs>
          <w:tab w:val="num" w:pos="2160"/>
        </w:tabs>
        <w:ind w:left="2160" w:hanging="360"/>
      </w:pPr>
      <w:rPr>
        <w:rFonts w:ascii="Wingdings" w:hAnsi="Wingdings" w:hint="default"/>
      </w:rPr>
    </w:lvl>
    <w:lvl w:ilvl="3" w:tplc="3B5EEFF4" w:tentative="1">
      <w:start w:val="1"/>
      <w:numFmt w:val="bullet"/>
      <w:lvlText w:val=""/>
      <w:lvlJc w:val="left"/>
      <w:pPr>
        <w:tabs>
          <w:tab w:val="num" w:pos="2880"/>
        </w:tabs>
        <w:ind w:left="2880" w:hanging="360"/>
      </w:pPr>
      <w:rPr>
        <w:rFonts w:ascii="Wingdings" w:hAnsi="Wingdings" w:hint="default"/>
      </w:rPr>
    </w:lvl>
    <w:lvl w:ilvl="4" w:tplc="262EFD14" w:tentative="1">
      <w:start w:val="1"/>
      <w:numFmt w:val="bullet"/>
      <w:lvlText w:val=""/>
      <w:lvlJc w:val="left"/>
      <w:pPr>
        <w:tabs>
          <w:tab w:val="num" w:pos="3600"/>
        </w:tabs>
        <w:ind w:left="3600" w:hanging="360"/>
      </w:pPr>
      <w:rPr>
        <w:rFonts w:ascii="Wingdings" w:hAnsi="Wingdings" w:hint="default"/>
      </w:rPr>
    </w:lvl>
    <w:lvl w:ilvl="5" w:tplc="77C43966" w:tentative="1">
      <w:start w:val="1"/>
      <w:numFmt w:val="bullet"/>
      <w:lvlText w:val=""/>
      <w:lvlJc w:val="left"/>
      <w:pPr>
        <w:tabs>
          <w:tab w:val="num" w:pos="4320"/>
        </w:tabs>
        <w:ind w:left="4320" w:hanging="360"/>
      </w:pPr>
      <w:rPr>
        <w:rFonts w:ascii="Wingdings" w:hAnsi="Wingdings" w:hint="default"/>
      </w:rPr>
    </w:lvl>
    <w:lvl w:ilvl="6" w:tplc="4BE28BFA" w:tentative="1">
      <w:start w:val="1"/>
      <w:numFmt w:val="bullet"/>
      <w:lvlText w:val=""/>
      <w:lvlJc w:val="left"/>
      <w:pPr>
        <w:tabs>
          <w:tab w:val="num" w:pos="5040"/>
        </w:tabs>
        <w:ind w:left="5040" w:hanging="360"/>
      </w:pPr>
      <w:rPr>
        <w:rFonts w:ascii="Wingdings" w:hAnsi="Wingdings" w:hint="default"/>
      </w:rPr>
    </w:lvl>
    <w:lvl w:ilvl="7" w:tplc="6E1EE994" w:tentative="1">
      <w:start w:val="1"/>
      <w:numFmt w:val="bullet"/>
      <w:lvlText w:val=""/>
      <w:lvlJc w:val="left"/>
      <w:pPr>
        <w:tabs>
          <w:tab w:val="num" w:pos="5760"/>
        </w:tabs>
        <w:ind w:left="5760" w:hanging="360"/>
      </w:pPr>
      <w:rPr>
        <w:rFonts w:ascii="Wingdings" w:hAnsi="Wingdings" w:hint="default"/>
      </w:rPr>
    </w:lvl>
    <w:lvl w:ilvl="8" w:tplc="536A89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DE330D"/>
    <w:multiLevelType w:val="hybridMultilevel"/>
    <w:tmpl w:val="59AE011C"/>
    <w:lvl w:ilvl="0" w:tplc="FDCC031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3663A4"/>
    <w:multiLevelType w:val="hybridMultilevel"/>
    <w:tmpl w:val="D3A26F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3670A8C"/>
    <w:multiLevelType w:val="hybridMultilevel"/>
    <w:tmpl w:val="8AC04ED4"/>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440047D"/>
    <w:multiLevelType w:val="hybridMultilevel"/>
    <w:tmpl w:val="DD4071CE"/>
    <w:lvl w:ilvl="0" w:tplc="3A9E17B0">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10"/>
  </w:num>
  <w:num w:numId="13">
    <w:abstractNumId w:val="3"/>
  </w:num>
  <w:num w:numId="14">
    <w:abstractNumId w:val="2"/>
  </w:num>
  <w:num w:numId="15">
    <w:abstractNumId w:val="1"/>
  </w:num>
  <w:num w:numId="16">
    <w:abstractNumId w:val="0"/>
  </w:num>
  <w:num w:numId="17">
    <w:abstractNumId w:val="9"/>
  </w:num>
  <w:num w:numId="18">
    <w:abstractNumId w:val="10"/>
  </w:num>
  <w:num w:numId="19">
    <w:abstractNumId w:val="3"/>
  </w:num>
  <w:num w:numId="20">
    <w:abstractNumId w:val="2"/>
  </w:num>
  <w:num w:numId="21">
    <w:abstractNumId w:val="1"/>
  </w:num>
  <w:num w:numId="22">
    <w:abstractNumId w:val="0"/>
  </w:num>
  <w:num w:numId="23">
    <w:abstractNumId w:val="9"/>
  </w:num>
  <w:num w:numId="24">
    <w:abstractNumId w:val="5"/>
  </w:num>
  <w:num w:numId="25">
    <w:abstractNumId w:val="26"/>
  </w:num>
  <w:num w:numId="26">
    <w:abstractNumId w:val="14"/>
  </w:num>
  <w:num w:numId="27">
    <w:abstractNumId w:val="8"/>
  </w:num>
  <w:num w:numId="28">
    <w:abstractNumId w:val="25"/>
  </w:num>
  <w:num w:numId="29">
    <w:abstractNumId w:val="17"/>
  </w:num>
  <w:num w:numId="30">
    <w:abstractNumId w:val="23"/>
  </w:num>
  <w:num w:numId="31">
    <w:abstractNumId w:val="11"/>
  </w:num>
  <w:num w:numId="32">
    <w:abstractNumId w:val="7"/>
  </w:num>
  <w:num w:numId="33">
    <w:abstractNumId w:val="18"/>
  </w:num>
  <w:num w:numId="34">
    <w:abstractNumId w:val="16"/>
  </w:num>
  <w:num w:numId="35">
    <w:abstractNumId w:val="22"/>
  </w:num>
  <w:num w:numId="36">
    <w:abstractNumId w:val="6"/>
  </w:num>
  <w:num w:numId="37">
    <w:abstractNumId w:val="24"/>
  </w:num>
  <w:num w:numId="38">
    <w:abstractNumId w:val="12"/>
  </w:num>
  <w:num w:numId="39">
    <w:abstractNumId w:val="19"/>
  </w:num>
  <w:num w:numId="40">
    <w:abstractNumId w:val="20"/>
  </w:num>
  <w:num w:numId="41">
    <w:abstractNumId w:val="13"/>
  </w:num>
  <w:num w:numId="42">
    <w:abstractNumId w:val="27"/>
  </w:num>
  <w:num w:numId="43">
    <w:abstractNumId w:val="21"/>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Bioresource Tech&lt;/Style&gt;&lt;LeftDelim&gt;{&lt;/LeftDelim&gt;&lt;RightDelim&gt;}&lt;/RightDelim&gt;&lt;FontName&gt;Tw Cen MT&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inbicon.enl&lt;/item&gt;&lt;/Libraries&gt;&lt;/ENLibraries&gt;"/>
  </w:docVars>
  <w:rsids>
    <w:rsidRoot w:val="000872C2"/>
    <w:rsid w:val="0000009B"/>
    <w:rsid w:val="00001CA1"/>
    <w:rsid w:val="000037F8"/>
    <w:rsid w:val="00004324"/>
    <w:rsid w:val="0001731C"/>
    <w:rsid w:val="00020958"/>
    <w:rsid w:val="000279E1"/>
    <w:rsid w:val="00027A01"/>
    <w:rsid w:val="00030964"/>
    <w:rsid w:val="00033EE3"/>
    <w:rsid w:val="000346E9"/>
    <w:rsid w:val="00035E3A"/>
    <w:rsid w:val="00036568"/>
    <w:rsid w:val="000377BC"/>
    <w:rsid w:val="000475DD"/>
    <w:rsid w:val="00050015"/>
    <w:rsid w:val="000527C5"/>
    <w:rsid w:val="00054E27"/>
    <w:rsid w:val="00057C79"/>
    <w:rsid w:val="00060EA9"/>
    <w:rsid w:val="00075CDA"/>
    <w:rsid w:val="00084406"/>
    <w:rsid w:val="00085BF8"/>
    <w:rsid w:val="00087091"/>
    <w:rsid w:val="000872C2"/>
    <w:rsid w:val="00091664"/>
    <w:rsid w:val="00092061"/>
    <w:rsid w:val="000947AD"/>
    <w:rsid w:val="000969C9"/>
    <w:rsid w:val="000A05FA"/>
    <w:rsid w:val="000B34D9"/>
    <w:rsid w:val="000B43B9"/>
    <w:rsid w:val="000C544A"/>
    <w:rsid w:val="000D0024"/>
    <w:rsid w:val="000D14F0"/>
    <w:rsid w:val="000D26F1"/>
    <w:rsid w:val="000E4F43"/>
    <w:rsid w:val="000E4FAA"/>
    <w:rsid w:val="000E5AD3"/>
    <w:rsid w:val="000F1E23"/>
    <w:rsid w:val="000F4333"/>
    <w:rsid w:val="000F799D"/>
    <w:rsid w:val="001018D3"/>
    <w:rsid w:val="00103F84"/>
    <w:rsid w:val="00104A60"/>
    <w:rsid w:val="001069D5"/>
    <w:rsid w:val="00107509"/>
    <w:rsid w:val="00112B08"/>
    <w:rsid w:val="00121BFE"/>
    <w:rsid w:val="00124259"/>
    <w:rsid w:val="00124611"/>
    <w:rsid w:val="00127128"/>
    <w:rsid w:val="001315AC"/>
    <w:rsid w:val="00137BC9"/>
    <w:rsid w:val="0014172E"/>
    <w:rsid w:val="00142B64"/>
    <w:rsid w:val="00144428"/>
    <w:rsid w:val="00150441"/>
    <w:rsid w:val="001575C5"/>
    <w:rsid w:val="00157D6E"/>
    <w:rsid w:val="0016154F"/>
    <w:rsid w:val="00161A92"/>
    <w:rsid w:val="00163E80"/>
    <w:rsid w:val="00174BBC"/>
    <w:rsid w:val="00176421"/>
    <w:rsid w:val="001900FD"/>
    <w:rsid w:val="001960E2"/>
    <w:rsid w:val="001A6A24"/>
    <w:rsid w:val="001A7E73"/>
    <w:rsid w:val="001B28AD"/>
    <w:rsid w:val="001B617D"/>
    <w:rsid w:val="001C17BB"/>
    <w:rsid w:val="001C41D8"/>
    <w:rsid w:val="001C4C82"/>
    <w:rsid w:val="001C65D1"/>
    <w:rsid w:val="001C7A99"/>
    <w:rsid w:val="001D34F0"/>
    <w:rsid w:val="001E0959"/>
    <w:rsid w:val="001E381B"/>
    <w:rsid w:val="001E4F32"/>
    <w:rsid w:val="001F171C"/>
    <w:rsid w:val="00216BF7"/>
    <w:rsid w:val="00217A1B"/>
    <w:rsid w:val="00220C0F"/>
    <w:rsid w:val="00222902"/>
    <w:rsid w:val="00224B3E"/>
    <w:rsid w:val="00224D89"/>
    <w:rsid w:val="00231825"/>
    <w:rsid w:val="00233463"/>
    <w:rsid w:val="00234170"/>
    <w:rsid w:val="00236115"/>
    <w:rsid w:val="00236F8D"/>
    <w:rsid w:val="00243BC9"/>
    <w:rsid w:val="00243C64"/>
    <w:rsid w:val="002447FF"/>
    <w:rsid w:val="0025072D"/>
    <w:rsid w:val="002541EF"/>
    <w:rsid w:val="0026043A"/>
    <w:rsid w:val="00262647"/>
    <w:rsid w:val="00264BF8"/>
    <w:rsid w:val="00265433"/>
    <w:rsid w:val="00265766"/>
    <w:rsid w:val="00270ED3"/>
    <w:rsid w:val="00272015"/>
    <w:rsid w:val="00274819"/>
    <w:rsid w:val="00274893"/>
    <w:rsid w:val="0027631A"/>
    <w:rsid w:val="00276C11"/>
    <w:rsid w:val="00283C29"/>
    <w:rsid w:val="002868F4"/>
    <w:rsid w:val="00296FBB"/>
    <w:rsid w:val="002A158C"/>
    <w:rsid w:val="002A2A36"/>
    <w:rsid w:val="002A563D"/>
    <w:rsid w:val="002A6556"/>
    <w:rsid w:val="002A68B9"/>
    <w:rsid w:val="002B2794"/>
    <w:rsid w:val="002B34D0"/>
    <w:rsid w:val="002B59AC"/>
    <w:rsid w:val="002C49D3"/>
    <w:rsid w:val="002D0E89"/>
    <w:rsid w:val="002E5254"/>
    <w:rsid w:val="002F17B1"/>
    <w:rsid w:val="002F6FBD"/>
    <w:rsid w:val="0030025E"/>
    <w:rsid w:val="00300F90"/>
    <w:rsid w:val="00303F38"/>
    <w:rsid w:val="0030641E"/>
    <w:rsid w:val="0031096D"/>
    <w:rsid w:val="00312EFA"/>
    <w:rsid w:val="0031700E"/>
    <w:rsid w:val="0032176F"/>
    <w:rsid w:val="00321A00"/>
    <w:rsid w:val="00323618"/>
    <w:rsid w:val="00323947"/>
    <w:rsid w:val="00324E06"/>
    <w:rsid w:val="003314A4"/>
    <w:rsid w:val="00334D4B"/>
    <w:rsid w:val="00340E44"/>
    <w:rsid w:val="00341D46"/>
    <w:rsid w:val="00346D26"/>
    <w:rsid w:val="003500C4"/>
    <w:rsid w:val="003514FA"/>
    <w:rsid w:val="00354551"/>
    <w:rsid w:val="00355266"/>
    <w:rsid w:val="00355E62"/>
    <w:rsid w:val="00364338"/>
    <w:rsid w:val="00366803"/>
    <w:rsid w:val="003673C8"/>
    <w:rsid w:val="003679F2"/>
    <w:rsid w:val="00372073"/>
    <w:rsid w:val="00373A3D"/>
    <w:rsid w:val="00374233"/>
    <w:rsid w:val="00375FCB"/>
    <w:rsid w:val="00376B39"/>
    <w:rsid w:val="003852FB"/>
    <w:rsid w:val="003857EA"/>
    <w:rsid w:val="003907A3"/>
    <w:rsid w:val="00397924"/>
    <w:rsid w:val="003A118E"/>
    <w:rsid w:val="003B17C5"/>
    <w:rsid w:val="003B1C27"/>
    <w:rsid w:val="003B23B5"/>
    <w:rsid w:val="003B23BA"/>
    <w:rsid w:val="003B3C80"/>
    <w:rsid w:val="003B759F"/>
    <w:rsid w:val="003C0036"/>
    <w:rsid w:val="003C07D7"/>
    <w:rsid w:val="003C16B4"/>
    <w:rsid w:val="003C27F3"/>
    <w:rsid w:val="003D1CBC"/>
    <w:rsid w:val="003D3DC9"/>
    <w:rsid w:val="003E1007"/>
    <w:rsid w:val="003E276D"/>
    <w:rsid w:val="003E56C8"/>
    <w:rsid w:val="003E5B2F"/>
    <w:rsid w:val="003F3BC4"/>
    <w:rsid w:val="00401C97"/>
    <w:rsid w:val="004049F4"/>
    <w:rsid w:val="00405DA8"/>
    <w:rsid w:val="00410503"/>
    <w:rsid w:val="00414239"/>
    <w:rsid w:val="00415956"/>
    <w:rsid w:val="00416125"/>
    <w:rsid w:val="00417CD7"/>
    <w:rsid w:val="00421A3E"/>
    <w:rsid w:val="00422897"/>
    <w:rsid w:val="004232C8"/>
    <w:rsid w:val="004232F9"/>
    <w:rsid w:val="004235E4"/>
    <w:rsid w:val="00425193"/>
    <w:rsid w:val="00426425"/>
    <w:rsid w:val="00426563"/>
    <w:rsid w:val="00430315"/>
    <w:rsid w:val="004318C3"/>
    <w:rsid w:val="00444EA9"/>
    <w:rsid w:val="00450F20"/>
    <w:rsid w:val="00455490"/>
    <w:rsid w:val="00460C6A"/>
    <w:rsid w:val="00461115"/>
    <w:rsid w:val="004621E3"/>
    <w:rsid w:val="00465273"/>
    <w:rsid w:val="00474E42"/>
    <w:rsid w:val="004801F0"/>
    <w:rsid w:val="00480725"/>
    <w:rsid w:val="00490266"/>
    <w:rsid w:val="00490701"/>
    <w:rsid w:val="0049660B"/>
    <w:rsid w:val="004A10AE"/>
    <w:rsid w:val="004A2D2A"/>
    <w:rsid w:val="004A5006"/>
    <w:rsid w:val="004A6A4A"/>
    <w:rsid w:val="004A7BC0"/>
    <w:rsid w:val="004C1EA3"/>
    <w:rsid w:val="004C4519"/>
    <w:rsid w:val="004C6FD5"/>
    <w:rsid w:val="004C7E48"/>
    <w:rsid w:val="004D766C"/>
    <w:rsid w:val="004D780C"/>
    <w:rsid w:val="004D795D"/>
    <w:rsid w:val="004E40BE"/>
    <w:rsid w:val="004E5348"/>
    <w:rsid w:val="004F2DE2"/>
    <w:rsid w:val="004F4185"/>
    <w:rsid w:val="004F6C47"/>
    <w:rsid w:val="004F7277"/>
    <w:rsid w:val="005001E3"/>
    <w:rsid w:val="0050509B"/>
    <w:rsid w:val="00505D58"/>
    <w:rsid w:val="0051335B"/>
    <w:rsid w:val="00513584"/>
    <w:rsid w:val="005167FA"/>
    <w:rsid w:val="005173C6"/>
    <w:rsid w:val="00517B8E"/>
    <w:rsid w:val="00522304"/>
    <w:rsid w:val="0052491D"/>
    <w:rsid w:val="00524A8C"/>
    <w:rsid w:val="00524B75"/>
    <w:rsid w:val="0052634E"/>
    <w:rsid w:val="0053053B"/>
    <w:rsid w:val="00530D7C"/>
    <w:rsid w:val="005340F4"/>
    <w:rsid w:val="00535CDC"/>
    <w:rsid w:val="00540CE1"/>
    <w:rsid w:val="005443D8"/>
    <w:rsid w:val="00544CA7"/>
    <w:rsid w:val="0054771E"/>
    <w:rsid w:val="00551242"/>
    <w:rsid w:val="00553D53"/>
    <w:rsid w:val="00555396"/>
    <w:rsid w:val="00561215"/>
    <w:rsid w:val="005707A5"/>
    <w:rsid w:val="005752F7"/>
    <w:rsid w:val="0058173F"/>
    <w:rsid w:val="00582F05"/>
    <w:rsid w:val="00583917"/>
    <w:rsid w:val="00583D66"/>
    <w:rsid w:val="00586786"/>
    <w:rsid w:val="0058774C"/>
    <w:rsid w:val="00594341"/>
    <w:rsid w:val="00595317"/>
    <w:rsid w:val="005954C1"/>
    <w:rsid w:val="005958E3"/>
    <w:rsid w:val="005A0F15"/>
    <w:rsid w:val="005A4D16"/>
    <w:rsid w:val="005A6690"/>
    <w:rsid w:val="005A6B3B"/>
    <w:rsid w:val="005B2FAF"/>
    <w:rsid w:val="005B44E9"/>
    <w:rsid w:val="005B4CB9"/>
    <w:rsid w:val="005C0E56"/>
    <w:rsid w:val="005C25DE"/>
    <w:rsid w:val="005C2ABD"/>
    <w:rsid w:val="005C5B2F"/>
    <w:rsid w:val="005D2613"/>
    <w:rsid w:val="005D5794"/>
    <w:rsid w:val="005D64EF"/>
    <w:rsid w:val="005D7ACE"/>
    <w:rsid w:val="005E1BEE"/>
    <w:rsid w:val="005F17CC"/>
    <w:rsid w:val="005F21C5"/>
    <w:rsid w:val="005F3618"/>
    <w:rsid w:val="005F3704"/>
    <w:rsid w:val="005F414D"/>
    <w:rsid w:val="005F4222"/>
    <w:rsid w:val="00600EFD"/>
    <w:rsid w:val="00603448"/>
    <w:rsid w:val="00603DF6"/>
    <w:rsid w:val="00606950"/>
    <w:rsid w:val="00610293"/>
    <w:rsid w:val="006103B5"/>
    <w:rsid w:val="006120DF"/>
    <w:rsid w:val="00614DC9"/>
    <w:rsid w:val="00617BFB"/>
    <w:rsid w:val="00627311"/>
    <w:rsid w:val="00627400"/>
    <w:rsid w:val="00630E52"/>
    <w:rsid w:val="00636CC0"/>
    <w:rsid w:val="006409B2"/>
    <w:rsid w:val="006456D8"/>
    <w:rsid w:val="00647140"/>
    <w:rsid w:val="006500F0"/>
    <w:rsid w:val="00655216"/>
    <w:rsid w:val="00663131"/>
    <w:rsid w:val="00670A80"/>
    <w:rsid w:val="0067332A"/>
    <w:rsid w:val="00673747"/>
    <w:rsid w:val="00674DDA"/>
    <w:rsid w:val="006774CB"/>
    <w:rsid w:val="0068152A"/>
    <w:rsid w:val="00684244"/>
    <w:rsid w:val="0069083C"/>
    <w:rsid w:val="006A25B6"/>
    <w:rsid w:val="006B04A6"/>
    <w:rsid w:val="006B0AEF"/>
    <w:rsid w:val="006B2712"/>
    <w:rsid w:val="006B71D5"/>
    <w:rsid w:val="006C00C7"/>
    <w:rsid w:val="006C163B"/>
    <w:rsid w:val="006C169F"/>
    <w:rsid w:val="006C230E"/>
    <w:rsid w:val="006C4199"/>
    <w:rsid w:val="006E58D3"/>
    <w:rsid w:val="006E59B3"/>
    <w:rsid w:val="006E6EBE"/>
    <w:rsid w:val="006F2165"/>
    <w:rsid w:val="006F2332"/>
    <w:rsid w:val="006F7C13"/>
    <w:rsid w:val="0070383D"/>
    <w:rsid w:val="00703BD7"/>
    <w:rsid w:val="00703D94"/>
    <w:rsid w:val="00703FFF"/>
    <w:rsid w:val="007040CC"/>
    <w:rsid w:val="007056D0"/>
    <w:rsid w:val="00710FB9"/>
    <w:rsid w:val="0071225C"/>
    <w:rsid w:val="00712C88"/>
    <w:rsid w:val="00712DC7"/>
    <w:rsid w:val="00715EA0"/>
    <w:rsid w:val="00717C3D"/>
    <w:rsid w:val="00720355"/>
    <w:rsid w:val="00727987"/>
    <w:rsid w:val="00730708"/>
    <w:rsid w:val="00745209"/>
    <w:rsid w:val="00746AEE"/>
    <w:rsid w:val="0074757F"/>
    <w:rsid w:val="00747B50"/>
    <w:rsid w:val="00752F61"/>
    <w:rsid w:val="007544D2"/>
    <w:rsid w:val="00755B86"/>
    <w:rsid w:val="00756439"/>
    <w:rsid w:val="007569D6"/>
    <w:rsid w:val="00757C6F"/>
    <w:rsid w:val="00760DA4"/>
    <w:rsid w:val="00762D62"/>
    <w:rsid w:val="00764A7E"/>
    <w:rsid w:val="00765913"/>
    <w:rsid w:val="00765A29"/>
    <w:rsid w:val="00765F9C"/>
    <w:rsid w:val="00767BCE"/>
    <w:rsid w:val="007777DE"/>
    <w:rsid w:val="00782A71"/>
    <w:rsid w:val="0078493C"/>
    <w:rsid w:val="0078545E"/>
    <w:rsid w:val="00785627"/>
    <w:rsid w:val="00790CA3"/>
    <w:rsid w:val="00792D5C"/>
    <w:rsid w:val="007937E9"/>
    <w:rsid w:val="00797872"/>
    <w:rsid w:val="007A2178"/>
    <w:rsid w:val="007A5A69"/>
    <w:rsid w:val="007A7726"/>
    <w:rsid w:val="007B277E"/>
    <w:rsid w:val="007B5105"/>
    <w:rsid w:val="007C1E2D"/>
    <w:rsid w:val="007E1A67"/>
    <w:rsid w:val="007E265D"/>
    <w:rsid w:val="007E3AC3"/>
    <w:rsid w:val="007E4523"/>
    <w:rsid w:val="007E482E"/>
    <w:rsid w:val="007F1269"/>
    <w:rsid w:val="007F2F95"/>
    <w:rsid w:val="007F7B0D"/>
    <w:rsid w:val="00801324"/>
    <w:rsid w:val="00806C19"/>
    <w:rsid w:val="00820844"/>
    <w:rsid w:val="00824C03"/>
    <w:rsid w:val="008275A9"/>
    <w:rsid w:val="008278E6"/>
    <w:rsid w:val="00827CE9"/>
    <w:rsid w:val="008307EE"/>
    <w:rsid w:val="0083448E"/>
    <w:rsid w:val="00834B01"/>
    <w:rsid w:val="0083730C"/>
    <w:rsid w:val="00842E4B"/>
    <w:rsid w:val="0085019E"/>
    <w:rsid w:val="00851114"/>
    <w:rsid w:val="008512D3"/>
    <w:rsid w:val="00852488"/>
    <w:rsid w:val="00854536"/>
    <w:rsid w:val="00856A42"/>
    <w:rsid w:val="008660F4"/>
    <w:rsid w:val="00870A60"/>
    <w:rsid w:val="00874F3B"/>
    <w:rsid w:val="0088017B"/>
    <w:rsid w:val="0088459F"/>
    <w:rsid w:val="00885658"/>
    <w:rsid w:val="0089058C"/>
    <w:rsid w:val="00890AFF"/>
    <w:rsid w:val="00890CD4"/>
    <w:rsid w:val="00890FDC"/>
    <w:rsid w:val="008929CE"/>
    <w:rsid w:val="008A31EA"/>
    <w:rsid w:val="008A6385"/>
    <w:rsid w:val="008B3C4E"/>
    <w:rsid w:val="008B61ED"/>
    <w:rsid w:val="008B6C03"/>
    <w:rsid w:val="008C10F4"/>
    <w:rsid w:val="008C216A"/>
    <w:rsid w:val="008C24F4"/>
    <w:rsid w:val="008C2CB5"/>
    <w:rsid w:val="008D0148"/>
    <w:rsid w:val="008D110D"/>
    <w:rsid w:val="008D21F2"/>
    <w:rsid w:val="008D4125"/>
    <w:rsid w:val="008D4D68"/>
    <w:rsid w:val="008D59CE"/>
    <w:rsid w:val="008E162C"/>
    <w:rsid w:val="008E59F4"/>
    <w:rsid w:val="008F0460"/>
    <w:rsid w:val="008F0476"/>
    <w:rsid w:val="008F08FF"/>
    <w:rsid w:val="008F23F2"/>
    <w:rsid w:val="008F6318"/>
    <w:rsid w:val="00903B16"/>
    <w:rsid w:val="00904FEE"/>
    <w:rsid w:val="00911259"/>
    <w:rsid w:val="00911F97"/>
    <w:rsid w:val="00921E39"/>
    <w:rsid w:val="0092377C"/>
    <w:rsid w:val="0092530B"/>
    <w:rsid w:val="009265F1"/>
    <w:rsid w:val="00931F2C"/>
    <w:rsid w:val="009330A1"/>
    <w:rsid w:val="00934936"/>
    <w:rsid w:val="0094257B"/>
    <w:rsid w:val="00943E47"/>
    <w:rsid w:val="009453EA"/>
    <w:rsid w:val="009455EB"/>
    <w:rsid w:val="00951BC1"/>
    <w:rsid w:val="00957297"/>
    <w:rsid w:val="0096038E"/>
    <w:rsid w:val="009621DF"/>
    <w:rsid w:val="00963F6B"/>
    <w:rsid w:val="00967DB2"/>
    <w:rsid w:val="00971B2F"/>
    <w:rsid w:val="00971EB3"/>
    <w:rsid w:val="00975744"/>
    <w:rsid w:val="00975AFE"/>
    <w:rsid w:val="0098382D"/>
    <w:rsid w:val="009857AE"/>
    <w:rsid w:val="00994CD1"/>
    <w:rsid w:val="009972F6"/>
    <w:rsid w:val="009A310C"/>
    <w:rsid w:val="009A394C"/>
    <w:rsid w:val="009A44EE"/>
    <w:rsid w:val="009A4F08"/>
    <w:rsid w:val="009A50BF"/>
    <w:rsid w:val="009A5306"/>
    <w:rsid w:val="009A576B"/>
    <w:rsid w:val="009A70E4"/>
    <w:rsid w:val="009B16EA"/>
    <w:rsid w:val="009B286D"/>
    <w:rsid w:val="009B3B88"/>
    <w:rsid w:val="009B43A8"/>
    <w:rsid w:val="009B45E7"/>
    <w:rsid w:val="009B5ECC"/>
    <w:rsid w:val="009B6A8D"/>
    <w:rsid w:val="009B790C"/>
    <w:rsid w:val="009C36C3"/>
    <w:rsid w:val="009C76EF"/>
    <w:rsid w:val="009D3A0D"/>
    <w:rsid w:val="009E01A7"/>
    <w:rsid w:val="009E188B"/>
    <w:rsid w:val="009E2116"/>
    <w:rsid w:val="00A12FAF"/>
    <w:rsid w:val="00A13149"/>
    <w:rsid w:val="00A13CFF"/>
    <w:rsid w:val="00A17520"/>
    <w:rsid w:val="00A221C3"/>
    <w:rsid w:val="00A256EF"/>
    <w:rsid w:val="00A259A1"/>
    <w:rsid w:val="00A31639"/>
    <w:rsid w:val="00A33E1D"/>
    <w:rsid w:val="00A34D1F"/>
    <w:rsid w:val="00A429FE"/>
    <w:rsid w:val="00A455C9"/>
    <w:rsid w:val="00A4675A"/>
    <w:rsid w:val="00A46CF4"/>
    <w:rsid w:val="00A475C7"/>
    <w:rsid w:val="00A5005B"/>
    <w:rsid w:val="00A5657F"/>
    <w:rsid w:val="00A56E16"/>
    <w:rsid w:val="00A61436"/>
    <w:rsid w:val="00A61451"/>
    <w:rsid w:val="00A619F1"/>
    <w:rsid w:val="00A70BA7"/>
    <w:rsid w:val="00A72E07"/>
    <w:rsid w:val="00A7330C"/>
    <w:rsid w:val="00A84DBC"/>
    <w:rsid w:val="00A854BD"/>
    <w:rsid w:val="00A86EC9"/>
    <w:rsid w:val="00A9171C"/>
    <w:rsid w:val="00A93E34"/>
    <w:rsid w:val="00AA781B"/>
    <w:rsid w:val="00AB5AE3"/>
    <w:rsid w:val="00AB5E48"/>
    <w:rsid w:val="00AB7D4C"/>
    <w:rsid w:val="00AC671D"/>
    <w:rsid w:val="00AC6FFC"/>
    <w:rsid w:val="00AD3988"/>
    <w:rsid w:val="00AE0D8B"/>
    <w:rsid w:val="00AE13DB"/>
    <w:rsid w:val="00B0136D"/>
    <w:rsid w:val="00B07819"/>
    <w:rsid w:val="00B1560B"/>
    <w:rsid w:val="00B166AD"/>
    <w:rsid w:val="00B22BDF"/>
    <w:rsid w:val="00B22F88"/>
    <w:rsid w:val="00B403A7"/>
    <w:rsid w:val="00B4076F"/>
    <w:rsid w:val="00B40D6D"/>
    <w:rsid w:val="00B410FF"/>
    <w:rsid w:val="00B4302B"/>
    <w:rsid w:val="00B447C8"/>
    <w:rsid w:val="00B45D56"/>
    <w:rsid w:val="00B53FAC"/>
    <w:rsid w:val="00B541C5"/>
    <w:rsid w:val="00B62A38"/>
    <w:rsid w:val="00B63DED"/>
    <w:rsid w:val="00B65C7C"/>
    <w:rsid w:val="00B67B97"/>
    <w:rsid w:val="00B71F98"/>
    <w:rsid w:val="00B755CF"/>
    <w:rsid w:val="00B75C34"/>
    <w:rsid w:val="00B76DD5"/>
    <w:rsid w:val="00B829D9"/>
    <w:rsid w:val="00B85016"/>
    <w:rsid w:val="00B85159"/>
    <w:rsid w:val="00B86BB6"/>
    <w:rsid w:val="00B86C10"/>
    <w:rsid w:val="00B93EA0"/>
    <w:rsid w:val="00BA1AEC"/>
    <w:rsid w:val="00BA395A"/>
    <w:rsid w:val="00BA3D00"/>
    <w:rsid w:val="00BA6E5D"/>
    <w:rsid w:val="00BB62AF"/>
    <w:rsid w:val="00BB6A12"/>
    <w:rsid w:val="00BB6C50"/>
    <w:rsid w:val="00BB7778"/>
    <w:rsid w:val="00BC13CD"/>
    <w:rsid w:val="00BC35F1"/>
    <w:rsid w:val="00BD3273"/>
    <w:rsid w:val="00BD7100"/>
    <w:rsid w:val="00BE08B6"/>
    <w:rsid w:val="00BE18CA"/>
    <w:rsid w:val="00BE267C"/>
    <w:rsid w:val="00BE52A4"/>
    <w:rsid w:val="00BF0966"/>
    <w:rsid w:val="00BF0C50"/>
    <w:rsid w:val="00BF30C6"/>
    <w:rsid w:val="00BF6D46"/>
    <w:rsid w:val="00C0715C"/>
    <w:rsid w:val="00C07609"/>
    <w:rsid w:val="00C10D32"/>
    <w:rsid w:val="00C10F97"/>
    <w:rsid w:val="00C21467"/>
    <w:rsid w:val="00C25B9C"/>
    <w:rsid w:val="00C31267"/>
    <w:rsid w:val="00C357C1"/>
    <w:rsid w:val="00C37FB0"/>
    <w:rsid w:val="00C40ACA"/>
    <w:rsid w:val="00C42286"/>
    <w:rsid w:val="00C52533"/>
    <w:rsid w:val="00C5435A"/>
    <w:rsid w:val="00C54C83"/>
    <w:rsid w:val="00C555DF"/>
    <w:rsid w:val="00C60766"/>
    <w:rsid w:val="00C620AF"/>
    <w:rsid w:val="00C66553"/>
    <w:rsid w:val="00C720DC"/>
    <w:rsid w:val="00C724D4"/>
    <w:rsid w:val="00C72F9F"/>
    <w:rsid w:val="00C80043"/>
    <w:rsid w:val="00C85057"/>
    <w:rsid w:val="00C902F9"/>
    <w:rsid w:val="00C90FAD"/>
    <w:rsid w:val="00C93550"/>
    <w:rsid w:val="00C957D6"/>
    <w:rsid w:val="00C96CD8"/>
    <w:rsid w:val="00CA7369"/>
    <w:rsid w:val="00CA78ED"/>
    <w:rsid w:val="00CB29CA"/>
    <w:rsid w:val="00CC159B"/>
    <w:rsid w:val="00CD0C8E"/>
    <w:rsid w:val="00CD5CCD"/>
    <w:rsid w:val="00CD6517"/>
    <w:rsid w:val="00CF6315"/>
    <w:rsid w:val="00D016DC"/>
    <w:rsid w:val="00D01CEE"/>
    <w:rsid w:val="00D01FF4"/>
    <w:rsid w:val="00D0314F"/>
    <w:rsid w:val="00D11B73"/>
    <w:rsid w:val="00D20493"/>
    <w:rsid w:val="00D20637"/>
    <w:rsid w:val="00D30E56"/>
    <w:rsid w:val="00D37786"/>
    <w:rsid w:val="00D459FF"/>
    <w:rsid w:val="00D52171"/>
    <w:rsid w:val="00D6755E"/>
    <w:rsid w:val="00D73775"/>
    <w:rsid w:val="00D74EF6"/>
    <w:rsid w:val="00D75216"/>
    <w:rsid w:val="00D76420"/>
    <w:rsid w:val="00D815D2"/>
    <w:rsid w:val="00D84EA7"/>
    <w:rsid w:val="00D85823"/>
    <w:rsid w:val="00D87095"/>
    <w:rsid w:val="00DA49D3"/>
    <w:rsid w:val="00DA58E5"/>
    <w:rsid w:val="00DA5C04"/>
    <w:rsid w:val="00DB39A9"/>
    <w:rsid w:val="00DB4666"/>
    <w:rsid w:val="00DB6145"/>
    <w:rsid w:val="00DB7733"/>
    <w:rsid w:val="00DC06CE"/>
    <w:rsid w:val="00DC652C"/>
    <w:rsid w:val="00DD0EA1"/>
    <w:rsid w:val="00DD3364"/>
    <w:rsid w:val="00DE1F90"/>
    <w:rsid w:val="00DE6DB3"/>
    <w:rsid w:val="00DE79C9"/>
    <w:rsid w:val="00DE7ACE"/>
    <w:rsid w:val="00DF06EA"/>
    <w:rsid w:val="00DF1132"/>
    <w:rsid w:val="00DF4742"/>
    <w:rsid w:val="00E06544"/>
    <w:rsid w:val="00E1134E"/>
    <w:rsid w:val="00E11BE5"/>
    <w:rsid w:val="00E13EAF"/>
    <w:rsid w:val="00E14211"/>
    <w:rsid w:val="00E17F76"/>
    <w:rsid w:val="00E24BB6"/>
    <w:rsid w:val="00E40487"/>
    <w:rsid w:val="00E413DB"/>
    <w:rsid w:val="00E42333"/>
    <w:rsid w:val="00E5175D"/>
    <w:rsid w:val="00E535D3"/>
    <w:rsid w:val="00E55B70"/>
    <w:rsid w:val="00E56991"/>
    <w:rsid w:val="00E601F3"/>
    <w:rsid w:val="00E60420"/>
    <w:rsid w:val="00E61209"/>
    <w:rsid w:val="00E64688"/>
    <w:rsid w:val="00E709FB"/>
    <w:rsid w:val="00E72FED"/>
    <w:rsid w:val="00E744FB"/>
    <w:rsid w:val="00E83197"/>
    <w:rsid w:val="00E833F2"/>
    <w:rsid w:val="00E83A84"/>
    <w:rsid w:val="00E85546"/>
    <w:rsid w:val="00E879D1"/>
    <w:rsid w:val="00E901B0"/>
    <w:rsid w:val="00E917F4"/>
    <w:rsid w:val="00E97822"/>
    <w:rsid w:val="00EA5227"/>
    <w:rsid w:val="00EC6B3D"/>
    <w:rsid w:val="00ED096D"/>
    <w:rsid w:val="00ED1728"/>
    <w:rsid w:val="00ED3FBF"/>
    <w:rsid w:val="00ED4644"/>
    <w:rsid w:val="00ED6F1E"/>
    <w:rsid w:val="00EE2FB4"/>
    <w:rsid w:val="00EF11B6"/>
    <w:rsid w:val="00EF370F"/>
    <w:rsid w:val="00F003EF"/>
    <w:rsid w:val="00F04736"/>
    <w:rsid w:val="00F165C7"/>
    <w:rsid w:val="00F16633"/>
    <w:rsid w:val="00F215DF"/>
    <w:rsid w:val="00F23BA5"/>
    <w:rsid w:val="00F24BA3"/>
    <w:rsid w:val="00F2638A"/>
    <w:rsid w:val="00F27282"/>
    <w:rsid w:val="00F4099A"/>
    <w:rsid w:val="00F442C4"/>
    <w:rsid w:val="00F52C09"/>
    <w:rsid w:val="00F53CAF"/>
    <w:rsid w:val="00F55B05"/>
    <w:rsid w:val="00F61350"/>
    <w:rsid w:val="00F643C6"/>
    <w:rsid w:val="00F778EB"/>
    <w:rsid w:val="00F863AF"/>
    <w:rsid w:val="00F9283E"/>
    <w:rsid w:val="00FA07E1"/>
    <w:rsid w:val="00FA0816"/>
    <w:rsid w:val="00FA3FFC"/>
    <w:rsid w:val="00FA5DDA"/>
    <w:rsid w:val="00FA683B"/>
    <w:rsid w:val="00FA697C"/>
    <w:rsid w:val="00FB7141"/>
    <w:rsid w:val="00FC1AF4"/>
    <w:rsid w:val="00FC22C5"/>
    <w:rsid w:val="00FC2829"/>
    <w:rsid w:val="00FC3AEC"/>
    <w:rsid w:val="00FC4D3E"/>
    <w:rsid w:val="00FC7F0D"/>
    <w:rsid w:val="00FD16C9"/>
    <w:rsid w:val="00FD2494"/>
    <w:rsid w:val="00FD3350"/>
    <w:rsid w:val="00FD7BF5"/>
    <w:rsid w:val="00FE0FE8"/>
    <w:rsid w:val="00FE3B6D"/>
    <w:rsid w:val="00FE4D47"/>
    <w:rsid w:val="00FE7747"/>
    <w:rsid w:val="00FF372B"/>
    <w:rsid w:val="00FF40E4"/>
    <w:rsid w:val="00FF6422"/>
    <w:rsid w:val="00FF7D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A68F99-02A1-490F-A4E8-FD795A5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4A4"/>
  </w:style>
  <w:style w:type="paragraph" w:styleId="Heading1">
    <w:name w:val="heading 1"/>
    <w:basedOn w:val="Normal"/>
    <w:next w:val="Normal"/>
    <w:link w:val="Heading1Char"/>
    <w:uiPriority w:val="9"/>
    <w:qFormat/>
    <w:rsid w:val="003314A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314A4"/>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314A4"/>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3314A4"/>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3314A4"/>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314A4"/>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314A4"/>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314A4"/>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314A4"/>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4A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314A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314A4"/>
    <w:rPr>
      <w:rFonts w:asciiTheme="majorHAnsi" w:eastAsiaTheme="majorEastAsia" w:hAnsiTheme="majorHAnsi" w:cstheme="majorBidi"/>
      <w:spacing w:val="4"/>
      <w:sz w:val="2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next w:val="Normal"/>
    <w:link w:val="IntenseQuoteChar"/>
    <w:uiPriority w:val="30"/>
    <w:qFormat/>
    <w:rsid w:val="003314A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314A4"/>
    <w:rPr>
      <w:rFonts w:asciiTheme="majorHAnsi" w:eastAsiaTheme="majorEastAsia" w:hAnsiTheme="majorHAnsi" w:cstheme="majorBidi"/>
      <w:sz w:val="26"/>
      <w:szCs w:val="26"/>
    </w:rPr>
  </w:style>
  <w:style w:type="paragraph" w:styleId="Subtitle">
    <w:name w:val="Subtitle"/>
    <w:basedOn w:val="Normal"/>
    <w:next w:val="Normal"/>
    <w:link w:val="SubtitleChar"/>
    <w:uiPriority w:val="11"/>
    <w:qFormat/>
    <w:rsid w:val="003314A4"/>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314A4"/>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3314A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314A4"/>
    <w:rPr>
      <w:rFonts w:asciiTheme="majorHAnsi" w:eastAsiaTheme="majorEastAsia" w:hAnsiTheme="majorHAnsi" w:cstheme="majorBidi"/>
      <w:b/>
      <w:bCs/>
      <w:spacing w:val="-7"/>
      <w:sz w:val="48"/>
      <w:szCs w:val="4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sid w:val="003314A4"/>
    <w:rPr>
      <w:b/>
      <w:bCs/>
      <w:smallCaps/>
      <w:color w:val="auto"/>
    </w:rPr>
  </w:style>
  <w:style w:type="paragraph" w:styleId="Caption">
    <w:name w:val="caption"/>
    <w:basedOn w:val="Normal"/>
    <w:next w:val="Normal"/>
    <w:uiPriority w:val="35"/>
    <w:unhideWhenUsed/>
    <w:qFormat/>
    <w:rsid w:val="003314A4"/>
    <w:rPr>
      <w:b/>
      <w:bCs/>
      <w:sz w:val="18"/>
      <w:szCs w:val="18"/>
    </w:rPr>
  </w:style>
  <w:style w:type="character" w:styleId="Emphasis">
    <w:name w:val="Emphasis"/>
    <w:basedOn w:val="DefaultParagraphFont"/>
    <w:uiPriority w:val="20"/>
    <w:qFormat/>
    <w:rsid w:val="003314A4"/>
    <w:rPr>
      <w:i/>
      <w:iCs/>
      <w:color w:val="auto"/>
    </w:rPr>
  </w:style>
  <w:style w:type="character" w:customStyle="1" w:styleId="Heading4Char">
    <w:name w:val="Heading 4 Char"/>
    <w:basedOn w:val="DefaultParagraphFont"/>
    <w:link w:val="Heading4"/>
    <w:uiPriority w:val="9"/>
    <w:rsid w:val="003314A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3314A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314A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314A4"/>
    <w:rPr>
      <w:i/>
      <w:iCs/>
    </w:rPr>
  </w:style>
  <w:style w:type="character" w:customStyle="1" w:styleId="Heading8Char">
    <w:name w:val="Heading 8 Char"/>
    <w:basedOn w:val="DefaultParagraphFont"/>
    <w:link w:val="Heading8"/>
    <w:uiPriority w:val="9"/>
    <w:semiHidden/>
    <w:rsid w:val="003314A4"/>
    <w:rPr>
      <w:b/>
      <w:bCs/>
    </w:rPr>
  </w:style>
  <w:style w:type="character" w:customStyle="1" w:styleId="Heading9Char">
    <w:name w:val="Heading 9 Char"/>
    <w:basedOn w:val="DefaultParagraphFont"/>
    <w:link w:val="Heading9"/>
    <w:uiPriority w:val="9"/>
    <w:semiHidden/>
    <w:rsid w:val="003314A4"/>
    <w:rPr>
      <w:i/>
      <w:iCs/>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sid w:val="003314A4"/>
    <w:rPr>
      <w:b/>
      <w:bCs/>
      <w:i/>
      <w:iCs/>
      <w:color w:val="auto"/>
    </w:rPr>
  </w:style>
  <w:style w:type="character" w:styleId="IntenseReference">
    <w:name w:val="Intense Reference"/>
    <w:basedOn w:val="DefaultParagraphFont"/>
    <w:uiPriority w:val="32"/>
    <w:qFormat/>
    <w:rsid w:val="003314A4"/>
    <w:rPr>
      <w:b/>
      <w:bCs/>
      <w:smallCaps/>
      <w:color w:val="auto"/>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pPr>
      <w:numPr>
        <w:numId w:val="18"/>
      </w:numPr>
    </w:pPr>
    <w:rPr>
      <w:sz w:val="24"/>
    </w:rPr>
  </w:style>
  <w:style w:type="paragraph" w:styleId="ListBullet2">
    <w:name w:val="List Bullet 2"/>
    <w:basedOn w:val="Normal"/>
    <w:uiPriority w:val="36"/>
    <w:unhideWhenUsed/>
    <w:pPr>
      <w:numPr>
        <w:numId w:val="19"/>
      </w:numPr>
    </w:pPr>
    <w:rPr>
      <w:color w:val="94B6D2" w:themeColor="accent1"/>
    </w:rPr>
  </w:style>
  <w:style w:type="paragraph" w:styleId="ListBullet3">
    <w:name w:val="List Bullet 3"/>
    <w:basedOn w:val="Normal"/>
    <w:uiPriority w:val="36"/>
    <w:unhideWhenUsed/>
    <w:pPr>
      <w:numPr>
        <w:numId w:val="20"/>
      </w:numPr>
    </w:pPr>
    <w:rPr>
      <w:color w:val="DD8047" w:themeColor="accent2"/>
    </w:rPr>
  </w:style>
  <w:style w:type="paragraph" w:styleId="ListBullet4">
    <w:name w:val="List Bullet 4"/>
    <w:basedOn w:val="Normal"/>
    <w:uiPriority w:val="36"/>
    <w:unhideWhenUsed/>
    <w:pPr>
      <w:numPr>
        <w:numId w:val="21"/>
      </w:numPr>
    </w:pPr>
    <w:rPr>
      <w:caps/>
      <w:spacing w:val="4"/>
    </w:rPr>
  </w:style>
  <w:style w:type="paragraph" w:styleId="ListBullet5">
    <w:name w:val="List Bullet 5"/>
    <w:basedOn w:val="Normal"/>
    <w:uiPriority w:val="36"/>
    <w:unhideWhenUsed/>
    <w:pPr>
      <w:numPr>
        <w:numId w:val="22"/>
      </w:numPr>
    </w:pPr>
  </w:style>
  <w:style w:type="paragraph" w:styleId="ListParagraph">
    <w:name w:val="List Paragraph"/>
    <w:basedOn w:val="Normal"/>
    <w:uiPriority w:val="34"/>
    <w:qFormat/>
    <w:pPr>
      <w:ind w:left="720"/>
      <w:contextualSpacing/>
    </w:pPr>
  </w:style>
  <w:style w:type="numbering" w:customStyle="1" w:styleId="MedianListStyle">
    <w:name w:val="Median List Style"/>
    <w:uiPriority w:val="99"/>
    <w:pPr>
      <w:numPr>
        <w:numId w:val="11"/>
      </w:numPr>
    </w:pPr>
  </w:style>
  <w:style w:type="paragraph" w:styleId="NoSpacing">
    <w:name w:val="No Spacing"/>
    <w:link w:val="NoSpacingChar"/>
    <w:uiPriority w:val="1"/>
    <w:qFormat/>
    <w:rsid w:val="003314A4"/>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next w:val="Normal"/>
    <w:link w:val="QuoteChar"/>
    <w:uiPriority w:val="29"/>
    <w:qFormat/>
    <w:rsid w:val="003314A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314A4"/>
    <w:rPr>
      <w:rFonts w:asciiTheme="majorHAnsi" w:eastAsiaTheme="majorEastAsia" w:hAnsiTheme="majorHAnsi" w:cstheme="majorBidi"/>
      <w:i/>
      <w:iCs/>
      <w:sz w:val="24"/>
      <w:szCs w:val="24"/>
    </w:rPr>
  </w:style>
  <w:style w:type="character" w:styleId="Strong">
    <w:name w:val="Strong"/>
    <w:basedOn w:val="DefaultParagraphFont"/>
    <w:uiPriority w:val="22"/>
    <w:qFormat/>
    <w:rsid w:val="003314A4"/>
    <w:rPr>
      <w:b/>
      <w:bCs/>
      <w:color w:val="auto"/>
    </w:rPr>
  </w:style>
  <w:style w:type="character" w:styleId="SubtleEmphasis">
    <w:name w:val="Subtle Emphasis"/>
    <w:basedOn w:val="DefaultParagraphFont"/>
    <w:uiPriority w:val="19"/>
    <w:qFormat/>
    <w:rsid w:val="003314A4"/>
    <w:rPr>
      <w:i/>
      <w:iCs/>
      <w:color w:val="auto"/>
    </w:rPr>
  </w:style>
  <w:style w:type="character" w:styleId="SubtleReference">
    <w:name w:val="Subtle Reference"/>
    <w:basedOn w:val="DefaultParagraphFont"/>
    <w:uiPriority w:val="31"/>
    <w:qFormat/>
    <w:rsid w:val="003314A4"/>
    <w:rPr>
      <w:smallCaps/>
      <w:color w:val="auto"/>
      <w:u w:val="single" w:color="7F7F7F" w:themeColor="text1" w:themeTint="80"/>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pPr>
      <w:pBdr>
        <w:top w:val="single" w:sz="4" w:space="1" w:color="94B6D2" w:themeColor="accent1"/>
      </w:pBdr>
    </w:pPr>
    <w:rPr>
      <w:color w:val="775F55" w:themeColor="text2"/>
      <w:sz w:val="20"/>
    </w:rPr>
  </w:style>
  <w:style w:type="paragraph" w:customStyle="1" w:styleId="FooterOdd">
    <w:name w:val="Footer Odd"/>
    <w:basedOn w:val="Normal"/>
    <w:unhideWhenUsed/>
    <w:pPr>
      <w:pBdr>
        <w:top w:val="single" w:sz="4" w:space="1" w:color="94B6D2" w:themeColor="accent1"/>
      </w:pBdr>
      <w:jc w:val="right"/>
    </w:pPr>
    <w:rPr>
      <w:color w:val="775F55" w:themeColor="text2"/>
      <w:sz w:val="20"/>
    </w:rPr>
  </w:style>
  <w:style w:type="paragraph" w:customStyle="1" w:styleId="HeaderEven">
    <w:name w:val="Header Even"/>
    <w:basedOn w:val="Normal"/>
    <w:unhideWhenUsed/>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A84DBC"/>
    <w:pPr>
      <w:spacing w:before="100" w:beforeAutospacing="1" w:after="100" w:afterAutospacing="1" w:line="240" w:lineRule="auto"/>
    </w:pPr>
    <w:rPr>
      <w:rFonts w:ascii="Times New Roman" w:hAnsi="Times New Roman"/>
      <w:sz w:val="24"/>
      <w:szCs w:val="24"/>
      <w:lang w:val="fr-CH" w:eastAsia="fr-CH"/>
    </w:rPr>
  </w:style>
  <w:style w:type="paragraph" w:styleId="FootnoteText">
    <w:name w:val="footnote text"/>
    <w:basedOn w:val="Normal"/>
    <w:link w:val="FootnoteTextChar"/>
    <w:unhideWhenUsed/>
    <w:rsid w:val="008B3C4E"/>
    <w:pPr>
      <w:spacing w:after="0" w:line="240" w:lineRule="auto"/>
    </w:pPr>
    <w:rPr>
      <w:sz w:val="20"/>
    </w:rPr>
  </w:style>
  <w:style w:type="character" w:customStyle="1" w:styleId="FootnoteTextChar">
    <w:name w:val="Footnote Text Char"/>
    <w:basedOn w:val="DefaultParagraphFont"/>
    <w:link w:val="FootnoteText"/>
    <w:uiPriority w:val="99"/>
    <w:rsid w:val="008B3C4E"/>
    <w:rPr>
      <w:sz w:val="20"/>
      <w:lang w:eastAsia="ja-JP"/>
    </w:rPr>
  </w:style>
  <w:style w:type="character" w:styleId="FootnoteReference">
    <w:name w:val="footnote reference"/>
    <w:basedOn w:val="DefaultParagraphFont"/>
    <w:semiHidden/>
    <w:unhideWhenUsed/>
    <w:rsid w:val="008B3C4E"/>
    <w:rPr>
      <w:vertAlign w:val="superscript"/>
    </w:rPr>
  </w:style>
  <w:style w:type="paragraph" w:styleId="EndnoteText">
    <w:name w:val="endnote text"/>
    <w:basedOn w:val="Normal"/>
    <w:link w:val="EndnoteTextChar"/>
    <w:uiPriority w:val="99"/>
    <w:semiHidden/>
    <w:unhideWhenUsed/>
    <w:rsid w:val="00957297"/>
    <w:pPr>
      <w:spacing w:after="0" w:line="240" w:lineRule="auto"/>
    </w:pPr>
    <w:rPr>
      <w:sz w:val="20"/>
    </w:rPr>
  </w:style>
  <w:style w:type="character" w:customStyle="1" w:styleId="EndnoteTextChar">
    <w:name w:val="Endnote Text Char"/>
    <w:basedOn w:val="DefaultParagraphFont"/>
    <w:link w:val="EndnoteText"/>
    <w:uiPriority w:val="99"/>
    <w:semiHidden/>
    <w:rsid w:val="00957297"/>
    <w:rPr>
      <w:sz w:val="20"/>
      <w:lang w:eastAsia="ja-JP"/>
    </w:rPr>
  </w:style>
  <w:style w:type="character" w:styleId="EndnoteReference">
    <w:name w:val="endnote reference"/>
    <w:basedOn w:val="DefaultParagraphFont"/>
    <w:uiPriority w:val="99"/>
    <w:semiHidden/>
    <w:unhideWhenUsed/>
    <w:rsid w:val="00957297"/>
    <w:rPr>
      <w:vertAlign w:val="superscript"/>
    </w:rPr>
  </w:style>
  <w:style w:type="paragraph" w:styleId="TOCHeading">
    <w:name w:val="TOC Heading"/>
    <w:basedOn w:val="Heading1"/>
    <w:next w:val="Normal"/>
    <w:uiPriority w:val="39"/>
    <w:semiHidden/>
    <w:unhideWhenUsed/>
    <w:qFormat/>
    <w:rsid w:val="003314A4"/>
    <w:pPr>
      <w:outlineLvl w:val="9"/>
    </w:pPr>
  </w:style>
  <w:style w:type="character" w:styleId="FollowedHyperlink">
    <w:name w:val="FollowedHyperlink"/>
    <w:basedOn w:val="DefaultParagraphFont"/>
    <w:uiPriority w:val="99"/>
    <w:semiHidden/>
    <w:unhideWhenUsed/>
    <w:rsid w:val="005D7ACE"/>
    <w:rPr>
      <w:color w:val="800080"/>
      <w:u w:val="single"/>
    </w:rPr>
  </w:style>
  <w:style w:type="paragraph" w:customStyle="1" w:styleId="xl63">
    <w:name w:val="xl63"/>
    <w:basedOn w:val="Normal"/>
    <w:rsid w:val="005D7AC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sz w:val="24"/>
      <w:szCs w:val="24"/>
      <w:lang w:val="fr-CH" w:eastAsia="fr-CH"/>
    </w:rPr>
  </w:style>
  <w:style w:type="paragraph" w:customStyle="1" w:styleId="xl65">
    <w:name w:val="xl65"/>
    <w:basedOn w:val="Normal"/>
    <w:rsid w:val="005D7AC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sz w:val="24"/>
      <w:szCs w:val="24"/>
      <w:lang w:val="fr-CH" w:eastAsia="fr-CH"/>
    </w:rPr>
  </w:style>
  <w:style w:type="paragraph" w:customStyle="1" w:styleId="xl66">
    <w:name w:val="xl66"/>
    <w:basedOn w:val="Normal"/>
    <w:rsid w:val="005D7ACE"/>
    <w:pPr>
      <w:spacing w:before="100" w:beforeAutospacing="1" w:after="100" w:afterAutospacing="1" w:line="240" w:lineRule="auto"/>
      <w:jc w:val="center"/>
    </w:pPr>
    <w:rPr>
      <w:rFonts w:ascii="Times New Roman" w:eastAsia="Times New Roman" w:hAnsi="Times New Roman"/>
      <w:b/>
      <w:bCs/>
      <w:sz w:val="24"/>
      <w:szCs w:val="24"/>
      <w:lang w:val="fr-CH" w:eastAsia="fr-CH"/>
    </w:rPr>
  </w:style>
  <w:style w:type="paragraph" w:customStyle="1" w:styleId="xl67">
    <w:name w:val="xl67"/>
    <w:basedOn w:val="Normal"/>
    <w:rsid w:val="003C27F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sz w:val="24"/>
      <w:szCs w:val="24"/>
      <w:lang w:val="fr-CH" w:eastAsia="fr-CH"/>
    </w:rPr>
  </w:style>
  <w:style w:type="paragraph" w:customStyle="1" w:styleId="xl68">
    <w:name w:val="xl68"/>
    <w:basedOn w:val="Normal"/>
    <w:rsid w:val="003C27F3"/>
    <w:pPr>
      <w:spacing w:before="100" w:beforeAutospacing="1" w:after="100" w:afterAutospacing="1" w:line="240" w:lineRule="auto"/>
      <w:jc w:val="center"/>
    </w:pPr>
    <w:rPr>
      <w:rFonts w:ascii="Times New Roman" w:eastAsia="Times New Roman" w:hAnsi="Times New Roman"/>
      <w:b/>
      <w:bCs/>
      <w:sz w:val="24"/>
      <w:szCs w:val="24"/>
      <w:lang w:val="fr-CH" w:eastAsia="fr-CH"/>
    </w:rPr>
  </w:style>
  <w:style w:type="paragraph" w:customStyle="1" w:styleId="xl69">
    <w:name w:val="xl69"/>
    <w:basedOn w:val="Normal"/>
    <w:rsid w:val="003C2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fr-CH" w:eastAsia="fr-CH"/>
    </w:rPr>
  </w:style>
  <w:style w:type="paragraph" w:customStyle="1" w:styleId="xl70">
    <w:name w:val="xl70"/>
    <w:basedOn w:val="Normal"/>
    <w:rsid w:val="003C2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fr-CH" w:eastAsia="fr-CH"/>
    </w:rPr>
  </w:style>
  <w:style w:type="paragraph" w:customStyle="1" w:styleId="xl71">
    <w:name w:val="xl71"/>
    <w:basedOn w:val="Normal"/>
    <w:rsid w:val="003C2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fr-CH" w:eastAsia="fr-CH"/>
    </w:rPr>
  </w:style>
  <w:style w:type="paragraph" w:customStyle="1" w:styleId="xl72">
    <w:name w:val="xl72"/>
    <w:basedOn w:val="Normal"/>
    <w:rsid w:val="003C2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fr-CH" w:eastAsia="fr-CH"/>
    </w:rPr>
  </w:style>
  <w:style w:type="paragraph" w:customStyle="1" w:styleId="xl73">
    <w:name w:val="xl73"/>
    <w:basedOn w:val="Normal"/>
    <w:rsid w:val="003C27F3"/>
    <w:pPr>
      <w:spacing w:before="100" w:beforeAutospacing="1" w:after="100" w:afterAutospacing="1" w:line="240" w:lineRule="auto"/>
    </w:pPr>
    <w:rPr>
      <w:rFonts w:ascii="Times New Roman" w:eastAsia="Times New Roman" w:hAnsi="Times New Roman"/>
      <w:b/>
      <w:bCs/>
      <w:sz w:val="24"/>
      <w:szCs w:val="24"/>
      <w:lang w:val="fr-CH" w:eastAsia="fr-CH"/>
    </w:rPr>
  </w:style>
  <w:style w:type="character" w:customStyle="1" w:styleId="FooterChar1">
    <w:name w:val="Footer Char1"/>
    <w:uiPriority w:val="99"/>
    <w:rsid w:val="00D6755E"/>
    <w:rPr>
      <w:sz w:val="24"/>
      <w:szCs w:val="24"/>
      <w:lang w:val="en-US" w:eastAsia="en-US"/>
    </w:rPr>
  </w:style>
  <w:style w:type="character" w:customStyle="1" w:styleId="NoSpacingChar">
    <w:name w:val="No Spacing Char"/>
    <w:link w:val="NoSpacing"/>
    <w:uiPriority w:val="1"/>
    <w:locked/>
    <w:rsid w:val="00D6755E"/>
  </w:style>
  <w:style w:type="character" w:styleId="CommentReference">
    <w:name w:val="annotation reference"/>
    <w:basedOn w:val="DefaultParagraphFont"/>
    <w:uiPriority w:val="99"/>
    <w:semiHidden/>
    <w:unhideWhenUsed/>
    <w:rsid w:val="00346D26"/>
    <w:rPr>
      <w:sz w:val="16"/>
      <w:szCs w:val="16"/>
    </w:rPr>
  </w:style>
  <w:style w:type="paragraph" w:styleId="CommentText">
    <w:name w:val="annotation text"/>
    <w:basedOn w:val="Normal"/>
    <w:link w:val="CommentTextChar"/>
    <w:uiPriority w:val="99"/>
    <w:semiHidden/>
    <w:unhideWhenUsed/>
    <w:rsid w:val="00346D26"/>
    <w:pPr>
      <w:spacing w:line="240" w:lineRule="auto"/>
    </w:pPr>
    <w:rPr>
      <w:sz w:val="20"/>
    </w:rPr>
  </w:style>
  <w:style w:type="character" w:customStyle="1" w:styleId="CommentTextChar">
    <w:name w:val="Comment Text Char"/>
    <w:basedOn w:val="DefaultParagraphFont"/>
    <w:link w:val="CommentText"/>
    <w:uiPriority w:val="99"/>
    <w:semiHidden/>
    <w:rsid w:val="00346D26"/>
    <w:rPr>
      <w:sz w:val="20"/>
      <w:lang w:eastAsia="ja-JP"/>
    </w:rPr>
  </w:style>
  <w:style w:type="paragraph" w:styleId="CommentSubject">
    <w:name w:val="annotation subject"/>
    <w:basedOn w:val="CommentText"/>
    <w:next w:val="CommentText"/>
    <w:link w:val="CommentSubjectChar"/>
    <w:uiPriority w:val="99"/>
    <w:semiHidden/>
    <w:unhideWhenUsed/>
    <w:rsid w:val="00346D26"/>
    <w:rPr>
      <w:b/>
      <w:bCs/>
    </w:rPr>
  </w:style>
  <w:style w:type="character" w:customStyle="1" w:styleId="CommentSubjectChar">
    <w:name w:val="Comment Subject Char"/>
    <w:basedOn w:val="CommentTextChar"/>
    <w:link w:val="CommentSubject"/>
    <w:uiPriority w:val="99"/>
    <w:semiHidden/>
    <w:rsid w:val="00346D26"/>
    <w:rPr>
      <w:b/>
      <w:bCs/>
      <w:sz w:val="20"/>
      <w:lang w:eastAsia="ja-JP"/>
    </w:rPr>
  </w:style>
  <w:style w:type="character" w:styleId="HTMLCite">
    <w:name w:val="HTML Cite"/>
    <w:basedOn w:val="DefaultParagraphFont"/>
    <w:uiPriority w:val="99"/>
    <w:semiHidden/>
    <w:unhideWhenUsed/>
    <w:rsid w:val="000F79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6971">
      <w:bodyDiv w:val="1"/>
      <w:marLeft w:val="0"/>
      <w:marRight w:val="0"/>
      <w:marTop w:val="0"/>
      <w:marBottom w:val="0"/>
      <w:divBdr>
        <w:top w:val="none" w:sz="0" w:space="0" w:color="auto"/>
        <w:left w:val="none" w:sz="0" w:space="0" w:color="auto"/>
        <w:bottom w:val="none" w:sz="0" w:space="0" w:color="auto"/>
        <w:right w:val="none" w:sz="0" w:space="0" w:color="auto"/>
      </w:divBdr>
    </w:div>
    <w:div w:id="137843246">
      <w:bodyDiv w:val="1"/>
      <w:marLeft w:val="0"/>
      <w:marRight w:val="0"/>
      <w:marTop w:val="0"/>
      <w:marBottom w:val="0"/>
      <w:divBdr>
        <w:top w:val="none" w:sz="0" w:space="0" w:color="auto"/>
        <w:left w:val="none" w:sz="0" w:space="0" w:color="auto"/>
        <w:bottom w:val="none" w:sz="0" w:space="0" w:color="auto"/>
        <w:right w:val="none" w:sz="0" w:space="0" w:color="auto"/>
      </w:divBdr>
    </w:div>
    <w:div w:id="179512780">
      <w:bodyDiv w:val="1"/>
      <w:marLeft w:val="0"/>
      <w:marRight w:val="0"/>
      <w:marTop w:val="0"/>
      <w:marBottom w:val="0"/>
      <w:divBdr>
        <w:top w:val="none" w:sz="0" w:space="0" w:color="auto"/>
        <w:left w:val="none" w:sz="0" w:space="0" w:color="auto"/>
        <w:bottom w:val="none" w:sz="0" w:space="0" w:color="auto"/>
        <w:right w:val="none" w:sz="0" w:space="0" w:color="auto"/>
      </w:divBdr>
    </w:div>
    <w:div w:id="213738428">
      <w:bodyDiv w:val="1"/>
      <w:marLeft w:val="0"/>
      <w:marRight w:val="0"/>
      <w:marTop w:val="0"/>
      <w:marBottom w:val="0"/>
      <w:divBdr>
        <w:top w:val="none" w:sz="0" w:space="0" w:color="auto"/>
        <w:left w:val="none" w:sz="0" w:space="0" w:color="auto"/>
        <w:bottom w:val="none" w:sz="0" w:space="0" w:color="auto"/>
        <w:right w:val="none" w:sz="0" w:space="0" w:color="auto"/>
      </w:divBdr>
    </w:div>
    <w:div w:id="215288555">
      <w:bodyDiv w:val="1"/>
      <w:marLeft w:val="0"/>
      <w:marRight w:val="0"/>
      <w:marTop w:val="0"/>
      <w:marBottom w:val="0"/>
      <w:divBdr>
        <w:top w:val="none" w:sz="0" w:space="0" w:color="auto"/>
        <w:left w:val="none" w:sz="0" w:space="0" w:color="auto"/>
        <w:bottom w:val="none" w:sz="0" w:space="0" w:color="auto"/>
        <w:right w:val="none" w:sz="0" w:space="0" w:color="auto"/>
      </w:divBdr>
    </w:div>
    <w:div w:id="259458239">
      <w:bodyDiv w:val="1"/>
      <w:marLeft w:val="0"/>
      <w:marRight w:val="0"/>
      <w:marTop w:val="0"/>
      <w:marBottom w:val="0"/>
      <w:divBdr>
        <w:top w:val="none" w:sz="0" w:space="0" w:color="auto"/>
        <w:left w:val="none" w:sz="0" w:space="0" w:color="auto"/>
        <w:bottom w:val="none" w:sz="0" w:space="0" w:color="auto"/>
        <w:right w:val="none" w:sz="0" w:space="0" w:color="auto"/>
      </w:divBdr>
    </w:div>
    <w:div w:id="307561270">
      <w:bodyDiv w:val="1"/>
      <w:marLeft w:val="0"/>
      <w:marRight w:val="0"/>
      <w:marTop w:val="0"/>
      <w:marBottom w:val="0"/>
      <w:divBdr>
        <w:top w:val="none" w:sz="0" w:space="0" w:color="auto"/>
        <w:left w:val="none" w:sz="0" w:space="0" w:color="auto"/>
        <w:bottom w:val="none" w:sz="0" w:space="0" w:color="auto"/>
        <w:right w:val="none" w:sz="0" w:space="0" w:color="auto"/>
      </w:divBdr>
    </w:div>
    <w:div w:id="381639437">
      <w:bodyDiv w:val="1"/>
      <w:marLeft w:val="0"/>
      <w:marRight w:val="0"/>
      <w:marTop w:val="0"/>
      <w:marBottom w:val="0"/>
      <w:divBdr>
        <w:top w:val="none" w:sz="0" w:space="0" w:color="auto"/>
        <w:left w:val="none" w:sz="0" w:space="0" w:color="auto"/>
        <w:bottom w:val="none" w:sz="0" w:space="0" w:color="auto"/>
        <w:right w:val="none" w:sz="0" w:space="0" w:color="auto"/>
      </w:divBdr>
    </w:div>
    <w:div w:id="408508119">
      <w:bodyDiv w:val="1"/>
      <w:marLeft w:val="0"/>
      <w:marRight w:val="0"/>
      <w:marTop w:val="0"/>
      <w:marBottom w:val="0"/>
      <w:divBdr>
        <w:top w:val="none" w:sz="0" w:space="0" w:color="auto"/>
        <w:left w:val="none" w:sz="0" w:space="0" w:color="auto"/>
        <w:bottom w:val="none" w:sz="0" w:space="0" w:color="auto"/>
        <w:right w:val="none" w:sz="0" w:space="0" w:color="auto"/>
      </w:divBdr>
    </w:div>
    <w:div w:id="453718318">
      <w:bodyDiv w:val="1"/>
      <w:marLeft w:val="0"/>
      <w:marRight w:val="0"/>
      <w:marTop w:val="0"/>
      <w:marBottom w:val="0"/>
      <w:divBdr>
        <w:top w:val="none" w:sz="0" w:space="0" w:color="auto"/>
        <w:left w:val="none" w:sz="0" w:space="0" w:color="auto"/>
        <w:bottom w:val="none" w:sz="0" w:space="0" w:color="auto"/>
        <w:right w:val="none" w:sz="0" w:space="0" w:color="auto"/>
      </w:divBdr>
    </w:div>
    <w:div w:id="461191048">
      <w:bodyDiv w:val="1"/>
      <w:marLeft w:val="0"/>
      <w:marRight w:val="0"/>
      <w:marTop w:val="0"/>
      <w:marBottom w:val="0"/>
      <w:divBdr>
        <w:top w:val="none" w:sz="0" w:space="0" w:color="auto"/>
        <w:left w:val="none" w:sz="0" w:space="0" w:color="auto"/>
        <w:bottom w:val="none" w:sz="0" w:space="0" w:color="auto"/>
        <w:right w:val="none" w:sz="0" w:space="0" w:color="auto"/>
      </w:divBdr>
    </w:div>
    <w:div w:id="483469118">
      <w:bodyDiv w:val="1"/>
      <w:marLeft w:val="0"/>
      <w:marRight w:val="0"/>
      <w:marTop w:val="0"/>
      <w:marBottom w:val="0"/>
      <w:divBdr>
        <w:top w:val="none" w:sz="0" w:space="0" w:color="auto"/>
        <w:left w:val="none" w:sz="0" w:space="0" w:color="auto"/>
        <w:bottom w:val="none" w:sz="0" w:space="0" w:color="auto"/>
        <w:right w:val="none" w:sz="0" w:space="0" w:color="auto"/>
      </w:divBdr>
    </w:div>
    <w:div w:id="484781119">
      <w:bodyDiv w:val="1"/>
      <w:marLeft w:val="0"/>
      <w:marRight w:val="0"/>
      <w:marTop w:val="0"/>
      <w:marBottom w:val="0"/>
      <w:divBdr>
        <w:top w:val="none" w:sz="0" w:space="0" w:color="auto"/>
        <w:left w:val="none" w:sz="0" w:space="0" w:color="auto"/>
        <w:bottom w:val="none" w:sz="0" w:space="0" w:color="auto"/>
        <w:right w:val="none" w:sz="0" w:space="0" w:color="auto"/>
      </w:divBdr>
    </w:div>
    <w:div w:id="526528057">
      <w:bodyDiv w:val="1"/>
      <w:marLeft w:val="0"/>
      <w:marRight w:val="0"/>
      <w:marTop w:val="0"/>
      <w:marBottom w:val="0"/>
      <w:divBdr>
        <w:top w:val="none" w:sz="0" w:space="0" w:color="auto"/>
        <w:left w:val="none" w:sz="0" w:space="0" w:color="auto"/>
        <w:bottom w:val="none" w:sz="0" w:space="0" w:color="auto"/>
        <w:right w:val="none" w:sz="0" w:space="0" w:color="auto"/>
      </w:divBdr>
    </w:div>
    <w:div w:id="528418704">
      <w:bodyDiv w:val="1"/>
      <w:marLeft w:val="0"/>
      <w:marRight w:val="0"/>
      <w:marTop w:val="0"/>
      <w:marBottom w:val="0"/>
      <w:divBdr>
        <w:top w:val="none" w:sz="0" w:space="0" w:color="auto"/>
        <w:left w:val="none" w:sz="0" w:space="0" w:color="auto"/>
        <w:bottom w:val="none" w:sz="0" w:space="0" w:color="auto"/>
        <w:right w:val="none" w:sz="0" w:space="0" w:color="auto"/>
      </w:divBdr>
      <w:divsChild>
        <w:div w:id="218440230">
          <w:marLeft w:val="720"/>
          <w:marRight w:val="0"/>
          <w:marTop w:val="0"/>
          <w:marBottom w:val="0"/>
          <w:divBdr>
            <w:top w:val="none" w:sz="0" w:space="0" w:color="auto"/>
            <w:left w:val="none" w:sz="0" w:space="0" w:color="auto"/>
            <w:bottom w:val="none" w:sz="0" w:space="0" w:color="auto"/>
            <w:right w:val="none" w:sz="0" w:space="0" w:color="auto"/>
          </w:divBdr>
        </w:div>
        <w:div w:id="223951280">
          <w:marLeft w:val="720"/>
          <w:marRight w:val="0"/>
          <w:marTop w:val="0"/>
          <w:marBottom w:val="0"/>
          <w:divBdr>
            <w:top w:val="none" w:sz="0" w:space="0" w:color="auto"/>
            <w:left w:val="none" w:sz="0" w:space="0" w:color="auto"/>
            <w:bottom w:val="none" w:sz="0" w:space="0" w:color="auto"/>
            <w:right w:val="none" w:sz="0" w:space="0" w:color="auto"/>
          </w:divBdr>
        </w:div>
      </w:divsChild>
    </w:div>
    <w:div w:id="545874942">
      <w:bodyDiv w:val="1"/>
      <w:marLeft w:val="0"/>
      <w:marRight w:val="0"/>
      <w:marTop w:val="0"/>
      <w:marBottom w:val="0"/>
      <w:divBdr>
        <w:top w:val="none" w:sz="0" w:space="0" w:color="auto"/>
        <w:left w:val="none" w:sz="0" w:space="0" w:color="auto"/>
        <w:bottom w:val="none" w:sz="0" w:space="0" w:color="auto"/>
        <w:right w:val="none" w:sz="0" w:space="0" w:color="auto"/>
      </w:divBdr>
    </w:div>
    <w:div w:id="557203687">
      <w:bodyDiv w:val="1"/>
      <w:marLeft w:val="0"/>
      <w:marRight w:val="0"/>
      <w:marTop w:val="0"/>
      <w:marBottom w:val="0"/>
      <w:divBdr>
        <w:top w:val="none" w:sz="0" w:space="0" w:color="auto"/>
        <w:left w:val="none" w:sz="0" w:space="0" w:color="auto"/>
        <w:bottom w:val="none" w:sz="0" w:space="0" w:color="auto"/>
        <w:right w:val="none" w:sz="0" w:space="0" w:color="auto"/>
      </w:divBdr>
    </w:div>
    <w:div w:id="600575490">
      <w:bodyDiv w:val="1"/>
      <w:marLeft w:val="0"/>
      <w:marRight w:val="0"/>
      <w:marTop w:val="0"/>
      <w:marBottom w:val="0"/>
      <w:divBdr>
        <w:top w:val="none" w:sz="0" w:space="0" w:color="auto"/>
        <w:left w:val="none" w:sz="0" w:space="0" w:color="auto"/>
        <w:bottom w:val="none" w:sz="0" w:space="0" w:color="auto"/>
        <w:right w:val="none" w:sz="0" w:space="0" w:color="auto"/>
      </w:divBdr>
    </w:div>
    <w:div w:id="673842316">
      <w:bodyDiv w:val="1"/>
      <w:marLeft w:val="0"/>
      <w:marRight w:val="0"/>
      <w:marTop w:val="0"/>
      <w:marBottom w:val="0"/>
      <w:divBdr>
        <w:top w:val="none" w:sz="0" w:space="0" w:color="auto"/>
        <w:left w:val="none" w:sz="0" w:space="0" w:color="auto"/>
        <w:bottom w:val="none" w:sz="0" w:space="0" w:color="auto"/>
        <w:right w:val="none" w:sz="0" w:space="0" w:color="auto"/>
      </w:divBdr>
    </w:div>
    <w:div w:id="758798017">
      <w:bodyDiv w:val="1"/>
      <w:marLeft w:val="0"/>
      <w:marRight w:val="0"/>
      <w:marTop w:val="0"/>
      <w:marBottom w:val="0"/>
      <w:divBdr>
        <w:top w:val="none" w:sz="0" w:space="0" w:color="auto"/>
        <w:left w:val="none" w:sz="0" w:space="0" w:color="auto"/>
        <w:bottom w:val="none" w:sz="0" w:space="0" w:color="auto"/>
        <w:right w:val="none" w:sz="0" w:space="0" w:color="auto"/>
      </w:divBdr>
    </w:div>
    <w:div w:id="821509324">
      <w:bodyDiv w:val="1"/>
      <w:marLeft w:val="0"/>
      <w:marRight w:val="0"/>
      <w:marTop w:val="0"/>
      <w:marBottom w:val="0"/>
      <w:divBdr>
        <w:top w:val="none" w:sz="0" w:space="0" w:color="auto"/>
        <w:left w:val="none" w:sz="0" w:space="0" w:color="auto"/>
        <w:bottom w:val="none" w:sz="0" w:space="0" w:color="auto"/>
        <w:right w:val="none" w:sz="0" w:space="0" w:color="auto"/>
      </w:divBdr>
    </w:div>
    <w:div w:id="835920295">
      <w:bodyDiv w:val="1"/>
      <w:marLeft w:val="0"/>
      <w:marRight w:val="0"/>
      <w:marTop w:val="0"/>
      <w:marBottom w:val="0"/>
      <w:divBdr>
        <w:top w:val="none" w:sz="0" w:space="0" w:color="auto"/>
        <w:left w:val="none" w:sz="0" w:space="0" w:color="auto"/>
        <w:bottom w:val="none" w:sz="0" w:space="0" w:color="auto"/>
        <w:right w:val="none" w:sz="0" w:space="0" w:color="auto"/>
      </w:divBdr>
    </w:div>
    <w:div w:id="974723666">
      <w:bodyDiv w:val="1"/>
      <w:marLeft w:val="0"/>
      <w:marRight w:val="0"/>
      <w:marTop w:val="0"/>
      <w:marBottom w:val="0"/>
      <w:divBdr>
        <w:top w:val="none" w:sz="0" w:space="0" w:color="auto"/>
        <w:left w:val="none" w:sz="0" w:space="0" w:color="auto"/>
        <w:bottom w:val="none" w:sz="0" w:space="0" w:color="auto"/>
        <w:right w:val="none" w:sz="0" w:space="0" w:color="auto"/>
      </w:divBdr>
    </w:div>
    <w:div w:id="980420933">
      <w:bodyDiv w:val="1"/>
      <w:marLeft w:val="0"/>
      <w:marRight w:val="0"/>
      <w:marTop w:val="0"/>
      <w:marBottom w:val="0"/>
      <w:divBdr>
        <w:top w:val="none" w:sz="0" w:space="0" w:color="auto"/>
        <w:left w:val="none" w:sz="0" w:space="0" w:color="auto"/>
        <w:bottom w:val="none" w:sz="0" w:space="0" w:color="auto"/>
        <w:right w:val="none" w:sz="0" w:space="0" w:color="auto"/>
      </w:divBdr>
    </w:div>
    <w:div w:id="1012220874">
      <w:bodyDiv w:val="1"/>
      <w:marLeft w:val="0"/>
      <w:marRight w:val="0"/>
      <w:marTop w:val="0"/>
      <w:marBottom w:val="0"/>
      <w:divBdr>
        <w:top w:val="none" w:sz="0" w:space="0" w:color="auto"/>
        <w:left w:val="none" w:sz="0" w:space="0" w:color="auto"/>
        <w:bottom w:val="none" w:sz="0" w:space="0" w:color="auto"/>
        <w:right w:val="none" w:sz="0" w:space="0" w:color="auto"/>
      </w:divBdr>
    </w:div>
    <w:div w:id="1018193791">
      <w:bodyDiv w:val="1"/>
      <w:marLeft w:val="0"/>
      <w:marRight w:val="0"/>
      <w:marTop w:val="0"/>
      <w:marBottom w:val="0"/>
      <w:divBdr>
        <w:top w:val="none" w:sz="0" w:space="0" w:color="auto"/>
        <w:left w:val="none" w:sz="0" w:space="0" w:color="auto"/>
        <w:bottom w:val="none" w:sz="0" w:space="0" w:color="auto"/>
        <w:right w:val="none" w:sz="0" w:space="0" w:color="auto"/>
      </w:divBdr>
    </w:div>
    <w:div w:id="1028869390">
      <w:bodyDiv w:val="1"/>
      <w:marLeft w:val="0"/>
      <w:marRight w:val="0"/>
      <w:marTop w:val="0"/>
      <w:marBottom w:val="0"/>
      <w:divBdr>
        <w:top w:val="none" w:sz="0" w:space="0" w:color="auto"/>
        <w:left w:val="none" w:sz="0" w:space="0" w:color="auto"/>
        <w:bottom w:val="none" w:sz="0" w:space="0" w:color="auto"/>
        <w:right w:val="none" w:sz="0" w:space="0" w:color="auto"/>
      </w:divBdr>
    </w:div>
    <w:div w:id="1032921489">
      <w:bodyDiv w:val="1"/>
      <w:marLeft w:val="0"/>
      <w:marRight w:val="0"/>
      <w:marTop w:val="0"/>
      <w:marBottom w:val="0"/>
      <w:divBdr>
        <w:top w:val="none" w:sz="0" w:space="0" w:color="auto"/>
        <w:left w:val="none" w:sz="0" w:space="0" w:color="auto"/>
        <w:bottom w:val="none" w:sz="0" w:space="0" w:color="auto"/>
        <w:right w:val="none" w:sz="0" w:space="0" w:color="auto"/>
      </w:divBdr>
      <w:divsChild>
        <w:div w:id="256528107">
          <w:marLeft w:val="0"/>
          <w:marRight w:val="0"/>
          <w:marTop w:val="0"/>
          <w:marBottom w:val="0"/>
          <w:divBdr>
            <w:top w:val="none" w:sz="0" w:space="0" w:color="auto"/>
            <w:left w:val="none" w:sz="0" w:space="0" w:color="auto"/>
            <w:bottom w:val="none" w:sz="0" w:space="0" w:color="auto"/>
            <w:right w:val="none" w:sz="0" w:space="0" w:color="auto"/>
          </w:divBdr>
        </w:div>
        <w:div w:id="280110773">
          <w:marLeft w:val="720"/>
          <w:marRight w:val="0"/>
          <w:marTop w:val="0"/>
          <w:marBottom w:val="0"/>
          <w:divBdr>
            <w:top w:val="none" w:sz="0" w:space="0" w:color="auto"/>
            <w:left w:val="none" w:sz="0" w:space="0" w:color="auto"/>
            <w:bottom w:val="none" w:sz="0" w:space="0" w:color="auto"/>
            <w:right w:val="none" w:sz="0" w:space="0" w:color="auto"/>
          </w:divBdr>
        </w:div>
        <w:div w:id="435171706">
          <w:marLeft w:val="0"/>
          <w:marRight w:val="0"/>
          <w:marTop w:val="0"/>
          <w:marBottom w:val="0"/>
          <w:divBdr>
            <w:top w:val="none" w:sz="0" w:space="0" w:color="auto"/>
            <w:left w:val="none" w:sz="0" w:space="0" w:color="auto"/>
            <w:bottom w:val="none" w:sz="0" w:space="0" w:color="auto"/>
            <w:right w:val="none" w:sz="0" w:space="0" w:color="auto"/>
          </w:divBdr>
        </w:div>
        <w:div w:id="662126323">
          <w:marLeft w:val="0"/>
          <w:marRight w:val="0"/>
          <w:marTop w:val="0"/>
          <w:marBottom w:val="0"/>
          <w:divBdr>
            <w:top w:val="none" w:sz="0" w:space="0" w:color="auto"/>
            <w:left w:val="none" w:sz="0" w:space="0" w:color="auto"/>
            <w:bottom w:val="none" w:sz="0" w:space="0" w:color="auto"/>
            <w:right w:val="none" w:sz="0" w:space="0" w:color="auto"/>
          </w:divBdr>
        </w:div>
        <w:div w:id="744186305">
          <w:marLeft w:val="0"/>
          <w:marRight w:val="0"/>
          <w:marTop w:val="0"/>
          <w:marBottom w:val="0"/>
          <w:divBdr>
            <w:top w:val="none" w:sz="0" w:space="0" w:color="auto"/>
            <w:left w:val="none" w:sz="0" w:space="0" w:color="auto"/>
            <w:bottom w:val="none" w:sz="0" w:space="0" w:color="auto"/>
            <w:right w:val="none" w:sz="0" w:space="0" w:color="auto"/>
          </w:divBdr>
        </w:div>
        <w:div w:id="1081684989">
          <w:marLeft w:val="720"/>
          <w:marRight w:val="0"/>
          <w:marTop w:val="0"/>
          <w:marBottom w:val="0"/>
          <w:divBdr>
            <w:top w:val="none" w:sz="0" w:space="0" w:color="auto"/>
            <w:left w:val="none" w:sz="0" w:space="0" w:color="auto"/>
            <w:bottom w:val="none" w:sz="0" w:space="0" w:color="auto"/>
            <w:right w:val="none" w:sz="0" w:space="0" w:color="auto"/>
          </w:divBdr>
        </w:div>
        <w:div w:id="1623881006">
          <w:marLeft w:val="0"/>
          <w:marRight w:val="0"/>
          <w:marTop w:val="0"/>
          <w:marBottom w:val="0"/>
          <w:divBdr>
            <w:top w:val="none" w:sz="0" w:space="0" w:color="auto"/>
            <w:left w:val="none" w:sz="0" w:space="0" w:color="auto"/>
            <w:bottom w:val="none" w:sz="0" w:space="0" w:color="auto"/>
            <w:right w:val="none" w:sz="0" w:space="0" w:color="auto"/>
          </w:divBdr>
        </w:div>
        <w:div w:id="1958369534">
          <w:marLeft w:val="0"/>
          <w:marRight w:val="0"/>
          <w:marTop w:val="0"/>
          <w:marBottom w:val="0"/>
          <w:divBdr>
            <w:top w:val="none" w:sz="0" w:space="0" w:color="auto"/>
            <w:left w:val="none" w:sz="0" w:space="0" w:color="auto"/>
            <w:bottom w:val="none" w:sz="0" w:space="0" w:color="auto"/>
            <w:right w:val="none" w:sz="0" w:space="0" w:color="auto"/>
          </w:divBdr>
        </w:div>
        <w:div w:id="1994019158">
          <w:marLeft w:val="0"/>
          <w:marRight w:val="0"/>
          <w:marTop w:val="0"/>
          <w:marBottom w:val="0"/>
          <w:divBdr>
            <w:top w:val="none" w:sz="0" w:space="0" w:color="auto"/>
            <w:left w:val="none" w:sz="0" w:space="0" w:color="auto"/>
            <w:bottom w:val="none" w:sz="0" w:space="0" w:color="auto"/>
            <w:right w:val="none" w:sz="0" w:space="0" w:color="auto"/>
          </w:divBdr>
        </w:div>
        <w:div w:id="2113819545">
          <w:marLeft w:val="720"/>
          <w:marRight w:val="0"/>
          <w:marTop w:val="0"/>
          <w:marBottom w:val="0"/>
          <w:divBdr>
            <w:top w:val="none" w:sz="0" w:space="0" w:color="auto"/>
            <w:left w:val="none" w:sz="0" w:space="0" w:color="auto"/>
            <w:bottom w:val="none" w:sz="0" w:space="0" w:color="auto"/>
            <w:right w:val="none" w:sz="0" w:space="0" w:color="auto"/>
          </w:divBdr>
        </w:div>
        <w:div w:id="2127384831">
          <w:marLeft w:val="0"/>
          <w:marRight w:val="0"/>
          <w:marTop w:val="0"/>
          <w:marBottom w:val="0"/>
          <w:divBdr>
            <w:top w:val="none" w:sz="0" w:space="0" w:color="auto"/>
            <w:left w:val="none" w:sz="0" w:space="0" w:color="auto"/>
            <w:bottom w:val="none" w:sz="0" w:space="0" w:color="auto"/>
            <w:right w:val="none" w:sz="0" w:space="0" w:color="auto"/>
          </w:divBdr>
        </w:div>
      </w:divsChild>
    </w:div>
    <w:div w:id="1058287007">
      <w:bodyDiv w:val="1"/>
      <w:marLeft w:val="0"/>
      <w:marRight w:val="0"/>
      <w:marTop w:val="0"/>
      <w:marBottom w:val="0"/>
      <w:divBdr>
        <w:top w:val="none" w:sz="0" w:space="0" w:color="auto"/>
        <w:left w:val="none" w:sz="0" w:space="0" w:color="auto"/>
        <w:bottom w:val="none" w:sz="0" w:space="0" w:color="auto"/>
        <w:right w:val="none" w:sz="0" w:space="0" w:color="auto"/>
      </w:divBdr>
    </w:div>
    <w:div w:id="1104762865">
      <w:bodyDiv w:val="1"/>
      <w:marLeft w:val="0"/>
      <w:marRight w:val="0"/>
      <w:marTop w:val="0"/>
      <w:marBottom w:val="0"/>
      <w:divBdr>
        <w:top w:val="none" w:sz="0" w:space="0" w:color="auto"/>
        <w:left w:val="none" w:sz="0" w:space="0" w:color="auto"/>
        <w:bottom w:val="none" w:sz="0" w:space="0" w:color="auto"/>
        <w:right w:val="none" w:sz="0" w:space="0" w:color="auto"/>
      </w:divBdr>
    </w:div>
    <w:div w:id="1113405822">
      <w:bodyDiv w:val="1"/>
      <w:marLeft w:val="0"/>
      <w:marRight w:val="0"/>
      <w:marTop w:val="0"/>
      <w:marBottom w:val="0"/>
      <w:divBdr>
        <w:top w:val="none" w:sz="0" w:space="0" w:color="auto"/>
        <w:left w:val="none" w:sz="0" w:space="0" w:color="auto"/>
        <w:bottom w:val="none" w:sz="0" w:space="0" w:color="auto"/>
        <w:right w:val="none" w:sz="0" w:space="0" w:color="auto"/>
      </w:divBdr>
    </w:div>
    <w:div w:id="1175924696">
      <w:bodyDiv w:val="1"/>
      <w:marLeft w:val="0"/>
      <w:marRight w:val="0"/>
      <w:marTop w:val="0"/>
      <w:marBottom w:val="0"/>
      <w:divBdr>
        <w:top w:val="none" w:sz="0" w:space="0" w:color="auto"/>
        <w:left w:val="none" w:sz="0" w:space="0" w:color="auto"/>
        <w:bottom w:val="none" w:sz="0" w:space="0" w:color="auto"/>
        <w:right w:val="none" w:sz="0" w:space="0" w:color="auto"/>
      </w:divBdr>
    </w:div>
    <w:div w:id="1204751780">
      <w:bodyDiv w:val="1"/>
      <w:marLeft w:val="0"/>
      <w:marRight w:val="0"/>
      <w:marTop w:val="0"/>
      <w:marBottom w:val="0"/>
      <w:divBdr>
        <w:top w:val="none" w:sz="0" w:space="0" w:color="auto"/>
        <w:left w:val="none" w:sz="0" w:space="0" w:color="auto"/>
        <w:bottom w:val="none" w:sz="0" w:space="0" w:color="auto"/>
        <w:right w:val="none" w:sz="0" w:space="0" w:color="auto"/>
      </w:divBdr>
      <w:divsChild>
        <w:div w:id="1056006336">
          <w:marLeft w:val="720"/>
          <w:marRight w:val="0"/>
          <w:marTop w:val="0"/>
          <w:marBottom w:val="0"/>
          <w:divBdr>
            <w:top w:val="none" w:sz="0" w:space="0" w:color="auto"/>
            <w:left w:val="none" w:sz="0" w:space="0" w:color="auto"/>
            <w:bottom w:val="none" w:sz="0" w:space="0" w:color="auto"/>
            <w:right w:val="none" w:sz="0" w:space="0" w:color="auto"/>
          </w:divBdr>
        </w:div>
      </w:divsChild>
    </w:div>
    <w:div w:id="1232500964">
      <w:bodyDiv w:val="1"/>
      <w:marLeft w:val="0"/>
      <w:marRight w:val="0"/>
      <w:marTop w:val="0"/>
      <w:marBottom w:val="0"/>
      <w:divBdr>
        <w:top w:val="none" w:sz="0" w:space="0" w:color="auto"/>
        <w:left w:val="none" w:sz="0" w:space="0" w:color="auto"/>
        <w:bottom w:val="none" w:sz="0" w:space="0" w:color="auto"/>
        <w:right w:val="none" w:sz="0" w:space="0" w:color="auto"/>
      </w:divBdr>
    </w:div>
    <w:div w:id="1446190091">
      <w:bodyDiv w:val="1"/>
      <w:marLeft w:val="0"/>
      <w:marRight w:val="0"/>
      <w:marTop w:val="0"/>
      <w:marBottom w:val="0"/>
      <w:divBdr>
        <w:top w:val="none" w:sz="0" w:space="0" w:color="auto"/>
        <w:left w:val="none" w:sz="0" w:space="0" w:color="auto"/>
        <w:bottom w:val="none" w:sz="0" w:space="0" w:color="auto"/>
        <w:right w:val="none" w:sz="0" w:space="0" w:color="auto"/>
      </w:divBdr>
      <w:divsChild>
        <w:div w:id="1694457505">
          <w:marLeft w:val="720"/>
          <w:marRight w:val="0"/>
          <w:marTop w:val="0"/>
          <w:marBottom w:val="0"/>
          <w:divBdr>
            <w:top w:val="none" w:sz="0" w:space="0" w:color="auto"/>
            <w:left w:val="none" w:sz="0" w:space="0" w:color="auto"/>
            <w:bottom w:val="none" w:sz="0" w:space="0" w:color="auto"/>
            <w:right w:val="none" w:sz="0" w:space="0" w:color="auto"/>
          </w:divBdr>
        </w:div>
        <w:div w:id="719210012">
          <w:marLeft w:val="720"/>
          <w:marRight w:val="0"/>
          <w:marTop w:val="0"/>
          <w:marBottom w:val="0"/>
          <w:divBdr>
            <w:top w:val="none" w:sz="0" w:space="0" w:color="auto"/>
            <w:left w:val="none" w:sz="0" w:space="0" w:color="auto"/>
            <w:bottom w:val="none" w:sz="0" w:space="0" w:color="auto"/>
            <w:right w:val="none" w:sz="0" w:space="0" w:color="auto"/>
          </w:divBdr>
        </w:div>
        <w:div w:id="1453406614">
          <w:marLeft w:val="720"/>
          <w:marRight w:val="0"/>
          <w:marTop w:val="0"/>
          <w:marBottom w:val="0"/>
          <w:divBdr>
            <w:top w:val="none" w:sz="0" w:space="0" w:color="auto"/>
            <w:left w:val="none" w:sz="0" w:space="0" w:color="auto"/>
            <w:bottom w:val="none" w:sz="0" w:space="0" w:color="auto"/>
            <w:right w:val="none" w:sz="0" w:space="0" w:color="auto"/>
          </w:divBdr>
        </w:div>
      </w:divsChild>
    </w:div>
    <w:div w:id="1459184719">
      <w:bodyDiv w:val="1"/>
      <w:marLeft w:val="0"/>
      <w:marRight w:val="0"/>
      <w:marTop w:val="0"/>
      <w:marBottom w:val="0"/>
      <w:divBdr>
        <w:top w:val="none" w:sz="0" w:space="0" w:color="auto"/>
        <w:left w:val="none" w:sz="0" w:space="0" w:color="auto"/>
        <w:bottom w:val="none" w:sz="0" w:space="0" w:color="auto"/>
        <w:right w:val="none" w:sz="0" w:space="0" w:color="auto"/>
      </w:divBdr>
    </w:div>
    <w:div w:id="1460145279">
      <w:bodyDiv w:val="1"/>
      <w:marLeft w:val="0"/>
      <w:marRight w:val="0"/>
      <w:marTop w:val="0"/>
      <w:marBottom w:val="0"/>
      <w:divBdr>
        <w:top w:val="none" w:sz="0" w:space="0" w:color="auto"/>
        <w:left w:val="none" w:sz="0" w:space="0" w:color="auto"/>
        <w:bottom w:val="none" w:sz="0" w:space="0" w:color="auto"/>
        <w:right w:val="none" w:sz="0" w:space="0" w:color="auto"/>
      </w:divBdr>
    </w:div>
    <w:div w:id="1539970775">
      <w:bodyDiv w:val="1"/>
      <w:marLeft w:val="0"/>
      <w:marRight w:val="0"/>
      <w:marTop w:val="0"/>
      <w:marBottom w:val="0"/>
      <w:divBdr>
        <w:top w:val="none" w:sz="0" w:space="0" w:color="auto"/>
        <w:left w:val="none" w:sz="0" w:space="0" w:color="auto"/>
        <w:bottom w:val="none" w:sz="0" w:space="0" w:color="auto"/>
        <w:right w:val="none" w:sz="0" w:space="0" w:color="auto"/>
      </w:divBdr>
    </w:div>
    <w:div w:id="1585339005">
      <w:bodyDiv w:val="1"/>
      <w:marLeft w:val="0"/>
      <w:marRight w:val="0"/>
      <w:marTop w:val="0"/>
      <w:marBottom w:val="0"/>
      <w:divBdr>
        <w:top w:val="none" w:sz="0" w:space="0" w:color="auto"/>
        <w:left w:val="none" w:sz="0" w:space="0" w:color="auto"/>
        <w:bottom w:val="none" w:sz="0" w:space="0" w:color="auto"/>
        <w:right w:val="none" w:sz="0" w:space="0" w:color="auto"/>
      </w:divBdr>
    </w:div>
    <w:div w:id="1588226135">
      <w:bodyDiv w:val="1"/>
      <w:marLeft w:val="0"/>
      <w:marRight w:val="0"/>
      <w:marTop w:val="0"/>
      <w:marBottom w:val="0"/>
      <w:divBdr>
        <w:top w:val="none" w:sz="0" w:space="0" w:color="auto"/>
        <w:left w:val="none" w:sz="0" w:space="0" w:color="auto"/>
        <w:bottom w:val="none" w:sz="0" w:space="0" w:color="auto"/>
        <w:right w:val="none" w:sz="0" w:space="0" w:color="auto"/>
      </w:divBdr>
    </w:div>
    <w:div w:id="1749423361">
      <w:bodyDiv w:val="1"/>
      <w:marLeft w:val="0"/>
      <w:marRight w:val="0"/>
      <w:marTop w:val="0"/>
      <w:marBottom w:val="0"/>
      <w:divBdr>
        <w:top w:val="none" w:sz="0" w:space="0" w:color="auto"/>
        <w:left w:val="none" w:sz="0" w:space="0" w:color="auto"/>
        <w:bottom w:val="none" w:sz="0" w:space="0" w:color="auto"/>
        <w:right w:val="none" w:sz="0" w:space="0" w:color="auto"/>
      </w:divBdr>
    </w:div>
    <w:div w:id="1892107476">
      <w:bodyDiv w:val="1"/>
      <w:marLeft w:val="0"/>
      <w:marRight w:val="0"/>
      <w:marTop w:val="0"/>
      <w:marBottom w:val="0"/>
      <w:divBdr>
        <w:top w:val="none" w:sz="0" w:space="0" w:color="auto"/>
        <w:left w:val="none" w:sz="0" w:space="0" w:color="auto"/>
        <w:bottom w:val="none" w:sz="0" w:space="0" w:color="auto"/>
        <w:right w:val="none" w:sz="0" w:space="0" w:color="auto"/>
      </w:divBdr>
    </w:div>
    <w:div w:id="1933469517">
      <w:bodyDiv w:val="1"/>
      <w:marLeft w:val="0"/>
      <w:marRight w:val="0"/>
      <w:marTop w:val="0"/>
      <w:marBottom w:val="0"/>
      <w:divBdr>
        <w:top w:val="none" w:sz="0" w:space="0" w:color="auto"/>
        <w:left w:val="none" w:sz="0" w:space="0" w:color="auto"/>
        <w:bottom w:val="none" w:sz="0" w:space="0" w:color="auto"/>
        <w:right w:val="none" w:sz="0" w:space="0" w:color="auto"/>
      </w:divBdr>
    </w:div>
    <w:div w:id="1937516751">
      <w:bodyDiv w:val="1"/>
      <w:marLeft w:val="0"/>
      <w:marRight w:val="0"/>
      <w:marTop w:val="0"/>
      <w:marBottom w:val="0"/>
      <w:divBdr>
        <w:top w:val="none" w:sz="0" w:space="0" w:color="auto"/>
        <w:left w:val="none" w:sz="0" w:space="0" w:color="auto"/>
        <w:bottom w:val="none" w:sz="0" w:space="0" w:color="auto"/>
        <w:right w:val="none" w:sz="0" w:space="0" w:color="auto"/>
      </w:divBdr>
    </w:div>
    <w:div w:id="2056081816">
      <w:bodyDiv w:val="1"/>
      <w:marLeft w:val="0"/>
      <w:marRight w:val="0"/>
      <w:marTop w:val="0"/>
      <w:marBottom w:val="0"/>
      <w:divBdr>
        <w:top w:val="none" w:sz="0" w:space="0" w:color="auto"/>
        <w:left w:val="none" w:sz="0" w:space="0" w:color="auto"/>
        <w:bottom w:val="none" w:sz="0" w:space="0" w:color="auto"/>
        <w:right w:val="none" w:sz="0" w:space="0" w:color="auto"/>
      </w:divBdr>
    </w:div>
    <w:div w:id="2071154791">
      <w:bodyDiv w:val="1"/>
      <w:marLeft w:val="0"/>
      <w:marRight w:val="0"/>
      <w:marTop w:val="0"/>
      <w:marBottom w:val="0"/>
      <w:divBdr>
        <w:top w:val="none" w:sz="0" w:space="0" w:color="auto"/>
        <w:left w:val="none" w:sz="0" w:space="0" w:color="auto"/>
        <w:bottom w:val="none" w:sz="0" w:space="0" w:color="auto"/>
        <w:right w:val="none" w:sz="0" w:space="0" w:color="auto"/>
      </w:divBdr>
    </w:div>
    <w:div w:id="2087458813">
      <w:bodyDiv w:val="1"/>
      <w:marLeft w:val="0"/>
      <w:marRight w:val="0"/>
      <w:marTop w:val="0"/>
      <w:marBottom w:val="0"/>
      <w:divBdr>
        <w:top w:val="none" w:sz="0" w:space="0" w:color="auto"/>
        <w:left w:val="none" w:sz="0" w:space="0" w:color="auto"/>
        <w:bottom w:val="none" w:sz="0" w:space="0" w:color="auto"/>
        <w:right w:val="none" w:sz="0" w:space="0" w:color="auto"/>
      </w:divBdr>
    </w:div>
    <w:div w:id="208753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Windows\system32\MedianRepo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grgnnas\Public\%5bPROETHANOL2G%5d\LCA_MODEL_11xxxx_BIOETHANOL.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uizpach\AppData\Local\Microsoft\Windows\Temporary%20Internet%20Files\Content.Outlook\01FPQ80T\LCA_MODEL_11xxxx_BIOETHANOL.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uizpach\AppData\Local\Microsoft\Windows\Temporary%20Internet%20Files\Content.Outlook\01FPQ80T\LCA_MODEL_11xxxx_BIOETHANOL.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uizpach\AppData\Local\Microsoft\Windows\Temporary%20Internet%20Files\Content.Outlook\01FPQ80T\LCA_MODEL_11xxxx_BIOETHANOL.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outputs!$I$13:$I$16</c:f>
              <c:strCache>
                <c:ptCount val="4"/>
                <c:pt idx="0">
                  <c:v>ED-FF2G</c:v>
                </c:pt>
                <c:pt idx="1">
                  <c:v>ED-OF2G</c:v>
                </c:pt>
                <c:pt idx="2">
                  <c:v>SM-FF2G</c:v>
                </c:pt>
                <c:pt idx="3">
                  <c:v>SM-OF2G</c:v>
                </c:pt>
              </c:strCache>
            </c:strRef>
          </c:cat>
          <c:val>
            <c:numRef>
              <c:f>outputs!$J$13:$J$16</c:f>
            </c:numRef>
          </c:val>
        </c:ser>
        <c:ser>
          <c:idx val="1"/>
          <c:order val="1"/>
          <c:spPr>
            <a:solidFill>
              <a:srgbClr val="0070C0"/>
            </a:solidFill>
          </c:spPr>
          <c:invertIfNegative val="0"/>
          <c:cat>
            <c:strRef>
              <c:f>outputs!$I$13:$I$16</c:f>
              <c:strCache>
                <c:ptCount val="4"/>
                <c:pt idx="0">
                  <c:v>ED-FF2G</c:v>
                </c:pt>
                <c:pt idx="1">
                  <c:v>ED-OF2G</c:v>
                </c:pt>
                <c:pt idx="2">
                  <c:v>SM-FF2G</c:v>
                </c:pt>
                <c:pt idx="3">
                  <c:v>SM-OF2G</c:v>
                </c:pt>
              </c:strCache>
            </c:strRef>
          </c:cat>
          <c:val>
            <c:numRef>
              <c:f>outputs!$K$13:$K$16</c:f>
              <c:numCache>
                <c:formatCode>0.00</c:formatCode>
                <c:ptCount val="4"/>
                <c:pt idx="0">
                  <c:v>0.41139999999999999</c:v>
                </c:pt>
                <c:pt idx="1">
                  <c:v>0.34899999999999998</c:v>
                </c:pt>
                <c:pt idx="2">
                  <c:v>0.28300000000000003</c:v>
                </c:pt>
                <c:pt idx="3">
                  <c:v>0.14000000000000001</c:v>
                </c:pt>
              </c:numCache>
            </c:numRef>
          </c:val>
        </c:ser>
        <c:dLbls>
          <c:showLegendKey val="0"/>
          <c:showVal val="0"/>
          <c:showCatName val="0"/>
          <c:showSerName val="0"/>
          <c:showPercent val="0"/>
          <c:showBubbleSize val="0"/>
        </c:dLbls>
        <c:gapWidth val="150"/>
        <c:axId val="524566720"/>
        <c:axId val="524567112"/>
      </c:barChart>
      <c:catAx>
        <c:axId val="524566720"/>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Integration Scheme</a:t>
                </a:r>
              </a:p>
            </c:rich>
          </c:tx>
          <c:layout>
            <c:manualLayout>
              <c:xMode val="edge"/>
              <c:yMode val="edge"/>
              <c:x val="0.41754465731153684"/>
              <c:y val="0.89205337582154953"/>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fr-FR"/>
          </a:p>
        </c:txPr>
        <c:crossAx val="524567112"/>
        <c:crosses val="autoZero"/>
        <c:auto val="1"/>
        <c:lblAlgn val="ctr"/>
        <c:lblOffset val="100"/>
        <c:noMultiLvlLbl val="0"/>
      </c:catAx>
      <c:valAx>
        <c:axId val="524567112"/>
        <c:scaling>
          <c:orientation val="minMax"/>
        </c:scaling>
        <c:delete val="0"/>
        <c:axPos val="l"/>
        <c:majorGridlines>
          <c:spPr>
            <a:ln>
              <a:noFill/>
            </a:ln>
          </c:spPr>
        </c:majorGridlines>
        <c:title>
          <c:tx>
            <c:rich>
              <a:bodyPr rot="0" vert="horz"/>
              <a:lstStyle/>
              <a:p>
                <a:pPr>
                  <a:defRPr>
                    <a:latin typeface="Times New Roman" panose="02020603050405020304" pitchFamily="18" charset="0"/>
                    <a:cs typeface="Times New Roman" panose="02020603050405020304" pitchFamily="18" charset="0"/>
                  </a:defRPr>
                </a:pPr>
                <a:r>
                  <a:rPr lang="en-US" sz="1200" dirty="0">
                    <a:latin typeface="Times New Roman" panose="02020603050405020304" pitchFamily="18" charset="0"/>
                    <a:cs typeface="Times New Roman" panose="02020603050405020304" pitchFamily="18" charset="0"/>
                  </a:rPr>
                  <a:t>GHR </a:t>
                </a:r>
                <a:endParaRPr lang="en-US" sz="1200" dirty="0" smtClean="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sz="1200" dirty="0" smtClean="0">
                    <a:latin typeface="Times New Roman" panose="02020603050405020304" pitchFamily="18" charset="0"/>
                    <a:cs typeface="Times New Roman" panose="02020603050405020304" pitchFamily="18" charset="0"/>
                  </a:rPr>
                  <a:t>removal</a:t>
                </a:r>
                <a:endParaRPr lang="en-US" sz="1200" dirty="0">
                  <a:latin typeface="Times New Roman" panose="02020603050405020304" pitchFamily="18" charset="0"/>
                  <a:cs typeface="Times New Roman" panose="02020603050405020304" pitchFamily="18" charset="0"/>
                </a:endParaRPr>
              </a:p>
            </c:rich>
          </c:tx>
          <c:layout>
            <c:manualLayout>
              <c:xMode val="edge"/>
              <c:yMode val="edge"/>
              <c:x val="1.2498437695288089E-2"/>
              <c:y val="0.37156446860195053"/>
            </c:manualLayout>
          </c:layout>
          <c:overlay val="0"/>
        </c:title>
        <c:numFmt formatCode="0%"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fr-FR"/>
          </a:p>
        </c:txPr>
        <c:crossAx val="524566720"/>
        <c:crosses val="autoZero"/>
        <c:crossBetween val="between"/>
      </c:valAx>
    </c:plotArea>
    <c:plotVisOnly val="1"/>
    <c:dispBlanksAs val="gap"/>
    <c:showDLblsOverMax val="0"/>
  </c:chart>
  <c:txPr>
    <a:bodyPr/>
    <a:lstStyle/>
    <a:p>
      <a:pPr>
        <a:defRPr sz="1400">
          <a:latin typeface="Arial Black" panose="020B0A04020102020204" pitchFamily="34"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ethanol E85</c:v>
          </c:tx>
          <c:invertIfNegative val="0"/>
          <c:val>
            <c:numRef>
              <c:f>'climate change'!$G$11</c:f>
              <c:numCache>
                <c:formatCode>General</c:formatCode>
                <c:ptCount val="1"/>
                <c:pt idx="0">
                  <c:v>0.91306722407962704</c:v>
                </c:pt>
              </c:numCache>
            </c:numRef>
          </c:val>
        </c:ser>
        <c:ser>
          <c:idx val="1"/>
          <c:order val="1"/>
          <c:tx>
            <c:v>gasoline, reference</c:v>
          </c:tx>
          <c:invertIfNegative val="0"/>
          <c:val>
            <c:numRef>
              <c:f>'climate change'!$G$12</c:f>
              <c:numCache>
                <c:formatCode>General</c:formatCode>
                <c:ptCount val="1"/>
                <c:pt idx="0">
                  <c:v>3.1071114867664367</c:v>
                </c:pt>
              </c:numCache>
            </c:numRef>
          </c:val>
        </c:ser>
        <c:dLbls>
          <c:showLegendKey val="0"/>
          <c:showVal val="0"/>
          <c:showCatName val="0"/>
          <c:showSerName val="0"/>
          <c:showPercent val="0"/>
          <c:showBubbleSize val="0"/>
        </c:dLbls>
        <c:gapWidth val="150"/>
        <c:shape val="cylinder"/>
        <c:axId val="524567896"/>
        <c:axId val="524568288"/>
        <c:axId val="0"/>
      </c:bar3DChart>
      <c:catAx>
        <c:axId val="524567896"/>
        <c:scaling>
          <c:orientation val="minMax"/>
        </c:scaling>
        <c:delete val="1"/>
        <c:axPos val="b"/>
        <c:majorTickMark val="out"/>
        <c:minorTickMark val="none"/>
        <c:tickLblPos val="nextTo"/>
        <c:crossAx val="524568288"/>
        <c:crosses val="autoZero"/>
        <c:auto val="1"/>
        <c:lblAlgn val="ctr"/>
        <c:lblOffset val="100"/>
        <c:noMultiLvlLbl val="0"/>
      </c:catAx>
      <c:valAx>
        <c:axId val="524568288"/>
        <c:scaling>
          <c:orientation val="minMax"/>
        </c:scaling>
        <c:delete val="0"/>
        <c:axPos val="l"/>
        <c:majorGridlines/>
        <c:title>
          <c:tx>
            <c:rich>
              <a:bodyPr rot="0" vert="horz"/>
              <a:lstStyle/>
              <a:p>
                <a:pPr>
                  <a:defRPr/>
                </a:pPr>
                <a:r>
                  <a:rPr lang="fr-CH"/>
                  <a:t>kg CO2/kg-eq</a:t>
                </a:r>
              </a:p>
            </c:rich>
          </c:tx>
          <c:layout>
            <c:manualLayout>
              <c:xMode val="edge"/>
              <c:yMode val="edge"/>
              <c:x val="2.4926629439319378E-2"/>
              <c:y val="0.47624910522548319"/>
            </c:manualLayout>
          </c:layout>
          <c:overlay val="0"/>
        </c:title>
        <c:numFmt formatCode="General" sourceLinked="1"/>
        <c:majorTickMark val="out"/>
        <c:minorTickMark val="none"/>
        <c:tickLblPos val="nextTo"/>
        <c:crossAx val="524567896"/>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4951583179762107"/>
          <c:y val="5.1712992889463474E-2"/>
          <c:w val="0.47106047914223487"/>
          <c:h val="0.87718164188752412"/>
        </c:manualLayout>
      </c:layout>
      <c:bar3DChart>
        <c:barDir val="col"/>
        <c:grouping val="clustered"/>
        <c:varyColors val="0"/>
        <c:ser>
          <c:idx val="0"/>
          <c:order val="0"/>
          <c:tx>
            <c:v>Sugar (biorefinery)</c:v>
          </c:tx>
          <c:invertIfNegative val="0"/>
          <c:val>
            <c:numRef>
              <c:f>'climate change'!$F$11</c:f>
              <c:numCache>
                <c:formatCode>General</c:formatCode>
                <c:ptCount val="1"/>
                <c:pt idx="0">
                  <c:v>0.45909921197285347</c:v>
                </c:pt>
              </c:numCache>
            </c:numRef>
          </c:val>
        </c:ser>
        <c:ser>
          <c:idx val="1"/>
          <c:order val="1"/>
          <c:tx>
            <c:v>sugar, reference</c:v>
          </c:tx>
          <c:invertIfNegative val="0"/>
          <c:val>
            <c:numRef>
              <c:f>'climate change'!$F$12</c:f>
              <c:numCache>
                <c:formatCode>General</c:formatCode>
                <c:ptCount val="1"/>
                <c:pt idx="0">
                  <c:v>0.39556999999999998</c:v>
                </c:pt>
              </c:numCache>
            </c:numRef>
          </c:val>
        </c:ser>
        <c:dLbls>
          <c:showLegendKey val="0"/>
          <c:showVal val="0"/>
          <c:showCatName val="0"/>
          <c:showSerName val="0"/>
          <c:showPercent val="0"/>
          <c:showBubbleSize val="0"/>
        </c:dLbls>
        <c:gapWidth val="150"/>
        <c:shape val="cylinder"/>
        <c:axId val="635602312"/>
        <c:axId val="635602704"/>
        <c:axId val="0"/>
      </c:bar3DChart>
      <c:catAx>
        <c:axId val="635602312"/>
        <c:scaling>
          <c:orientation val="minMax"/>
        </c:scaling>
        <c:delete val="1"/>
        <c:axPos val="b"/>
        <c:majorTickMark val="out"/>
        <c:minorTickMark val="none"/>
        <c:tickLblPos val="nextTo"/>
        <c:crossAx val="635602704"/>
        <c:crosses val="autoZero"/>
        <c:auto val="1"/>
        <c:lblAlgn val="ctr"/>
        <c:lblOffset val="100"/>
        <c:noMultiLvlLbl val="0"/>
      </c:catAx>
      <c:valAx>
        <c:axId val="635602704"/>
        <c:scaling>
          <c:orientation val="minMax"/>
          <c:min val="0"/>
        </c:scaling>
        <c:delete val="0"/>
        <c:axPos val="l"/>
        <c:majorGridlines/>
        <c:title>
          <c:tx>
            <c:rich>
              <a:bodyPr rot="0" vert="horz"/>
              <a:lstStyle/>
              <a:p>
                <a:pPr>
                  <a:defRPr/>
                </a:pPr>
                <a:r>
                  <a:rPr lang="fr-CH"/>
                  <a:t>kgCO2/kg</a:t>
                </a:r>
              </a:p>
            </c:rich>
          </c:tx>
          <c:layout>
            <c:manualLayout>
              <c:xMode val="edge"/>
              <c:yMode val="edge"/>
              <c:x val="2.9630482128679338E-2"/>
              <c:y val="0.51256076022171437"/>
            </c:manualLayout>
          </c:layout>
          <c:overlay val="0"/>
        </c:title>
        <c:numFmt formatCode="General" sourceLinked="1"/>
        <c:majorTickMark val="out"/>
        <c:minorTickMark val="none"/>
        <c:tickLblPos val="nextTo"/>
        <c:crossAx val="635602312"/>
        <c:crosses val="autoZero"/>
        <c:crossBetween val="between"/>
      </c:valAx>
    </c:plotArea>
    <c:legend>
      <c:legendPos val="r"/>
      <c:layout>
        <c:manualLayout>
          <c:xMode val="edge"/>
          <c:yMode val="edge"/>
          <c:x val="0.71317575589822779"/>
          <c:y val="0.40451674309942026"/>
          <c:w val="0.27942368906014409"/>
          <c:h val="0.19096651380115948"/>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1805873359457426"/>
          <c:y val="6.6686874810548649E-2"/>
          <c:w val="0.38312126513993261"/>
          <c:h val="0.86662625037890273"/>
        </c:manualLayout>
      </c:layout>
      <c:bar3DChart>
        <c:barDir val="col"/>
        <c:grouping val="clustered"/>
        <c:varyColors val="0"/>
        <c:ser>
          <c:idx val="0"/>
          <c:order val="0"/>
          <c:tx>
            <c:v>C5 syrup</c:v>
          </c:tx>
          <c:invertIfNegative val="0"/>
          <c:val>
            <c:numRef>
              <c:f>'climate change'!$I$11</c:f>
              <c:numCache>
                <c:formatCode>General</c:formatCode>
                <c:ptCount val="1"/>
                <c:pt idx="0">
                  <c:v>4.5249978981530076E-2</c:v>
                </c:pt>
              </c:numCache>
            </c:numRef>
          </c:val>
        </c:ser>
        <c:ser>
          <c:idx val="1"/>
          <c:order val="1"/>
          <c:tx>
            <c:v>B molasses, reference</c:v>
          </c:tx>
          <c:invertIfNegative val="0"/>
          <c:val>
            <c:numRef>
              <c:f>'climate change'!$I$12</c:f>
              <c:numCache>
                <c:formatCode>General</c:formatCode>
                <c:ptCount val="1"/>
                <c:pt idx="0">
                  <c:v>4.5542459923553422E-2</c:v>
                </c:pt>
              </c:numCache>
            </c:numRef>
          </c:val>
        </c:ser>
        <c:dLbls>
          <c:showLegendKey val="0"/>
          <c:showVal val="0"/>
          <c:showCatName val="0"/>
          <c:showSerName val="0"/>
          <c:showPercent val="0"/>
          <c:showBubbleSize val="0"/>
        </c:dLbls>
        <c:gapWidth val="150"/>
        <c:shape val="cylinder"/>
        <c:axId val="635603488"/>
        <c:axId val="635369784"/>
        <c:axId val="0"/>
      </c:bar3DChart>
      <c:catAx>
        <c:axId val="635603488"/>
        <c:scaling>
          <c:orientation val="minMax"/>
        </c:scaling>
        <c:delete val="1"/>
        <c:axPos val="b"/>
        <c:majorTickMark val="out"/>
        <c:minorTickMark val="none"/>
        <c:tickLblPos val="nextTo"/>
        <c:crossAx val="635369784"/>
        <c:crosses val="autoZero"/>
        <c:auto val="1"/>
        <c:lblAlgn val="ctr"/>
        <c:lblOffset val="100"/>
        <c:noMultiLvlLbl val="0"/>
      </c:catAx>
      <c:valAx>
        <c:axId val="635369784"/>
        <c:scaling>
          <c:orientation val="minMax"/>
          <c:min val="0"/>
        </c:scaling>
        <c:delete val="0"/>
        <c:axPos val="l"/>
        <c:majorGridlines/>
        <c:title>
          <c:tx>
            <c:rich>
              <a:bodyPr rot="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kgCO2/kg-eq</a:t>
                </a:r>
              </a:p>
            </c:rich>
          </c:tx>
          <c:layout>
            <c:manualLayout>
              <c:xMode val="edge"/>
              <c:yMode val="edge"/>
              <c:x val="2.4449326566378788E-2"/>
              <c:y val="0.49161879166437927"/>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fr-FR"/>
          </a:p>
        </c:txPr>
        <c:crossAx val="635603488"/>
        <c:crosses val="autoZero"/>
        <c:crossBetween val="between"/>
      </c:valAx>
    </c:plotArea>
    <c:legend>
      <c:legendPos val="r"/>
      <c:layout>
        <c:manualLayout>
          <c:xMode val="edge"/>
          <c:yMode val="edge"/>
          <c:x val="0.68622952218806699"/>
          <c:y val="0.30132586109367432"/>
          <c:w val="0.31377047781193301"/>
          <c:h val="0.17909984652948996"/>
        </c:manualLayout>
      </c:layout>
      <c:overlay val="0"/>
      <c:txPr>
        <a:bodyPr/>
        <a:lstStyle/>
        <a:p>
          <a:pPr>
            <a:defRPr sz="8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7444126454702544"/>
          <c:y val="7.3959938366718034E-2"/>
          <c:w val="0.40646899700540107"/>
          <c:h val="0.86440677966101698"/>
        </c:manualLayout>
      </c:layout>
      <c:bar3DChart>
        <c:barDir val="col"/>
        <c:grouping val="clustered"/>
        <c:varyColors val="0"/>
        <c:ser>
          <c:idx val="0"/>
          <c:order val="0"/>
          <c:tx>
            <c:v>Surplus Electricity</c:v>
          </c:tx>
          <c:invertIfNegative val="0"/>
          <c:val>
            <c:numRef>
              <c:f>'climate change'!$H$11</c:f>
              <c:numCache>
                <c:formatCode>General</c:formatCode>
                <c:ptCount val="1"/>
                <c:pt idx="0">
                  <c:v>0.17858816206505135</c:v>
                </c:pt>
              </c:numCache>
            </c:numRef>
          </c:val>
        </c:ser>
        <c:ser>
          <c:idx val="1"/>
          <c:order val="1"/>
          <c:tx>
            <c:v>Brazilian suplly mix</c:v>
          </c:tx>
          <c:invertIfNegative val="0"/>
          <c:val>
            <c:numRef>
              <c:f>'climate change'!$H$12</c:f>
              <c:numCache>
                <c:formatCode>General</c:formatCode>
                <c:ptCount val="1"/>
                <c:pt idx="0">
                  <c:v>0.19522</c:v>
                </c:pt>
              </c:numCache>
            </c:numRef>
          </c:val>
        </c:ser>
        <c:dLbls>
          <c:showLegendKey val="0"/>
          <c:showVal val="0"/>
          <c:showCatName val="0"/>
          <c:showSerName val="0"/>
          <c:showPercent val="0"/>
          <c:showBubbleSize val="0"/>
        </c:dLbls>
        <c:gapWidth val="150"/>
        <c:shape val="cylinder"/>
        <c:axId val="635370568"/>
        <c:axId val="635370960"/>
        <c:axId val="0"/>
      </c:bar3DChart>
      <c:catAx>
        <c:axId val="635370568"/>
        <c:scaling>
          <c:orientation val="minMax"/>
        </c:scaling>
        <c:delete val="1"/>
        <c:axPos val="b"/>
        <c:majorTickMark val="out"/>
        <c:minorTickMark val="none"/>
        <c:tickLblPos val="nextTo"/>
        <c:crossAx val="635370960"/>
        <c:crosses val="autoZero"/>
        <c:auto val="1"/>
        <c:lblAlgn val="ctr"/>
        <c:lblOffset val="100"/>
        <c:noMultiLvlLbl val="0"/>
      </c:catAx>
      <c:valAx>
        <c:axId val="635370960"/>
        <c:scaling>
          <c:orientation val="minMax"/>
          <c:min val="0"/>
        </c:scaling>
        <c:delete val="0"/>
        <c:axPos val="l"/>
        <c:majorGridlines/>
        <c:title>
          <c:tx>
            <c:rich>
              <a:bodyPr rot="0" vert="horz"/>
              <a:lstStyle/>
              <a:p>
                <a:pPr>
                  <a:defRPr/>
                </a:pPr>
                <a:r>
                  <a:rPr lang="en-US"/>
                  <a:t>kg CO2/kwh</a:t>
                </a:r>
              </a:p>
            </c:rich>
          </c:tx>
          <c:layout>
            <c:manualLayout>
              <c:xMode val="edge"/>
              <c:yMode val="edge"/>
              <c:x val="1.357159443541407E-2"/>
              <c:y val="0.51163243269475756"/>
            </c:manualLayout>
          </c:layout>
          <c:overlay val="0"/>
        </c:title>
        <c:numFmt formatCode="General" sourceLinked="1"/>
        <c:majorTickMark val="out"/>
        <c:minorTickMark val="none"/>
        <c:tickLblPos val="nextTo"/>
        <c:crossAx val="635370568"/>
        <c:crosses val="autoZero"/>
        <c:crossBetween val="between"/>
      </c:valAx>
    </c:plotArea>
    <c:legend>
      <c:legendPos val="r"/>
      <c:layout>
        <c:manualLayout>
          <c:xMode val="edge"/>
          <c:yMode val="edge"/>
          <c:x val="0.69623006239501561"/>
          <c:y val="0.29185639930601898"/>
          <c:w val="0.30376993760498439"/>
          <c:h val="0.18208024459192215"/>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055BB0DBDE3436581298D60549370A5"/>
        <w:category>
          <w:name w:val="General"/>
          <w:gallery w:val="placeholder"/>
        </w:category>
        <w:types>
          <w:type w:val="bbPlcHdr"/>
        </w:types>
        <w:behaviors>
          <w:behavior w:val="content"/>
        </w:behaviors>
        <w:guid w:val="{92282E0B-4F28-46F7-8A94-3A6ED20D6B07}"/>
      </w:docPartPr>
      <w:docPartBody>
        <w:p w:rsidR="00B0523E" w:rsidRDefault="0060697B" w:rsidP="0060697B">
          <w:pPr>
            <w:pStyle w:val="E055BB0DBDE3436581298D60549370A5"/>
          </w:pPr>
          <w:r>
            <w:t>[Type the document title]</w:t>
          </w:r>
        </w:p>
      </w:docPartBody>
    </w:docPart>
    <w:docPart>
      <w:docPartPr>
        <w:name w:val="693D11090C844AFF9F80496883C558C1"/>
        <w:category>
          <w:name w:val="General"/>
          <w:gallery w:val="placeholder"/>
        </w:category>
        <w:types>
          <w:type w:val="bbPlcHdr"/>
        </w:types>
        <w:behaviors>
          <w:behavior w:val="content"/>
        </w:behaviors>
        <w:guid w:val="{C31700D6-C525-414A-B3D3-015468DCED97}"/>
      </w:docPartPr>
      <w:docPartBody>
        <w:p w:rsidR="00B0523E" w:rsidRDefault="0060697B" w:rsidP="0060697B">
          <w:pPr>
            <w:pStyle w:val="693D11090C844AFF9F80496883C558C1"/>
          </w:pPr>
          <w:r>
            <w:t>[Type the subtitle]</w:t>
          </w:r>
        </w:p>
      </w:docPartBody>
    </w:docPart>
    <w:docPart>
      <w:docPartPr>
        <w:name w:val="FEFD2994EA2A4B5CBC18E5D93C3B7244"/>
        <w:category>
          <w:name w:val="General"/>
          <w:gallery w:val="placeholder"/>
        </w:category>
        <w:types>
          <w:type w:val="bbPlcHdr"/>
        </w:types>
        <w:behaviors>
          <w:behavior w:val="content"/>
        </w:behaviors>
        <w:guid w:val="{BECB2EF1-FB1C-425A-8377-F2F8D0AAFC98}"/>
      </w:docPartPr>
      <w:docPartBody>
        <w:p w:rsidR="00B0523E" w:rsidRDefault="0060697B" w:rsidP="0060697B">
          <w:pPr>
            <w:pStyle w:val="FEFD2994EA2A4B5CBC18E5D93C3B7244"/>
          </w:pPr>
          <w:r>
            <w:rPr>
              <w:rFonts w:asciiTheme="majorHAnsi" w:eastAsiaTheme="majorEastAsia" w:hAnsiTheme="majorHAnsi" w:cstheme="majorBidi"/>
              <w:caps/>
              <w:color w:val="44546A" w:themeColor="text2"/>
              <w:sz w:val="110"/>
              <w:szCs w:val="110"/>
            </w:rPr>
            <w:t>[Type the document title]</w:t>
          </w:r>
        </w:p>
      </w:docPartBody>
    </w:docPart>
    <w:docPart>
      <w:docPartPr>
        <w:name w:val="B00014C1E9994312AF95823E5BB73BA5"/>
        <w:category>
          <w:name w:val="General"/>
          <w:gallery w:val="placeholder"/>
        </w:category>
        <w:types>
          <w:type w:val="bbPlcHdr"/>
        </w:types>
        <w:behaviors>
          <w:behavior w:val="content"/>
        </w:behaviors>
        <w:guid w:val="{195BA355-12C2-402A-8D4A-C8236FC85EE2}"/>
      </w:docPartPr>
      <w:docPartBody>
        <w:p w:rsidR="00B0523E" w:rsidRDefault="0060697B" w:rsidP="0060697B">
          <w:pPr>
            <w:pStyle w:val="B00014C1E9994312AF95823E5BB73BA5"/>
          </w:pPr>
          <w:r>
            <w:rPr>
              <w:color w:val="FFFFFF" w:themeColor="background1"/>
              <w:sz w:val="32"/>
              <w:szCs w:val="32"/>
            </w:rPr>
            <w:t>[Pick the date]</w:t>
          </w:r>
        </w:p>
      </w:docPartBody>
    </w:docPart>
    <w:docPart>
      <w:docPartPr>
        <w:name w:val="37655CAB3D9F4976B7D328874BB52A40"/>
        <w:category>
          <w:name w:val="General"/>
          <w:gallery w:val="placeholder"/>
        </w:category>
        <w:types>
          <w:type w:val="bbPlcHdr"/>
        </w:types>
        <w:behaviors>
          <w:behavior w:val="content"/>
        </w:behaviors>
        <w:guid w:val="{65F9E763-3261-4A67-9CE7-220A93D0237B}"/>
      </w:docPartPr>
      <w:docPartBody>
        <w:p w:rsidR="00B0523E" w:rsidRDefault="0060697B" w:rsidP="0060697B">
          <w:pPr>
            <w:pStyle w:val="37655CAB3D9F4976B7D328874BB52A40"/>
          </w:pPr>
          <w:r>
            <w:rPr>
              <w:color w:val="FFFFFF" w:themeColor="background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HGPGothicE">
    <w:altName w:val="Arial Unicode MS"/>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altName w:val="Arial Narrow"/>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embedSystemFonts/>
  <w:defaultTabStop w:val="720"/>
  <w:hyphenationZone w:val="425"/>
  <w:characterSpacingControl w:val="doNotCompress"/>
  <w:compat>
    <w:doNotSnapToGridInCell/>
    <w:doNotWrapTextWithPunct/>
    <w:doNotUseEastAsianBreakRules/>
    <w:growAutofit/>
    <w:useFELayout/>
    <w:compatSetting w:name="compatibilityMode" w:uri="http://schemas.microsoft.com/office/word" w:val="12"/>
  </w:compat>
  <w:rsids>
    <w:rsidRoot w:val="001D3A70"/>
    <w:rsid w:val="00037A36"/>
    <w:rsid w:val="00075861"/>
    <w:rsid w:val="00097E6F"/>
    <w:rsid w:val="000D6FC2"/>
    <w:rsid w:val="000E57A7"/>
    <w:rsid w:val="001168AA"/>
    <w:rsid w:val="00131B96"/>
    <w:rsid w:val="00156663"/>
    <w:rsid w:val="001D3A70"/>
    <w:rsid w:val="001E7E08"/>
    <w:rsid w:val="002111F9"/>
    <w:rsid w:val="002143C4"/>
    <w:rsid w:val="00224CFA"/>
    <w:rsid w:val="00240459"/>
    <w:rsid w:val="002A2EF4"/>
    <w:rsid w:val="002F502C"/>
    <w:rsid w:val="003A69A0"/>
    <w:rsid w:val="0047031D"/>
    <w:rsid w:val="004D43AF"/>
    <w:rsid w:val="00526C5B"/>
    <w:rsid w:val="00605CFA"/>
    <w:rsid w:val="0060697B"/>
    <w:rsid w:val="006128B9"/>
    <w:rsid w:val="00641892"/>
    <w:rsid w:val="006D58F2"/>
    <w:rsid w:val="007061B2"/>
    <w:rsid w:val="00743428"/>
    <w:rsid w:val="0076439D"/>
    <w:rsid w:val="00783950"/>
    <w:rsid w:val="007F1230"/>
    <w:rsid w:val="007F6CD0"/>
    <w:rsid w:val="00890ADE"/>
    <w:rsid w:val="00895021"/>
    <w:rsid w:val="008A2904"/>
    <w:rsid w:val="008A499D"/>
    <w:rsid w:val="008B4FF5"/>
    <w:rsid w:val="00916280"/>
    <w:rsid w:val="00A26172"/>
    <w:rsid w:val="00A27134"/>
    <w:rsid w:val="00A878A4"/>
    <w:rsid w:val="00B0523E"/>
    <w:rsid w:val="00BE65BD"/>
    <w:rsid w:val="00C46992"/>
    <w:rsid w:val="00CA573B"/>
    <w:rsid w:val="00D4710D"/>
    <w:rsid w:val="00D71098"/>
    <w:rsid w:val="00D71EC8"/>
    <w:rsid w:val="00E25074"/>
    <w:rsid w:val="00E34504"/>
    <w:rsid w:val="00E66F67"/>
    <w:rsid w:val="00F13428"/>
    <w:rsid w:val="00F64389"/>
    <w:rsid w:val="00F83243"/>
    <w:rsid w:val="00FB2360"/>
    <w:rsid w:val="00FC65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lang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5B9BD5" w:themeColor="accent1"/>
      <w:spacing w:val="20"/>
      <w:kern w:val="24"/>
      <w:sz w:val="28"/>
      <w:szCs w:val="28"/>
      <w:lang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27134"/>
    <w:rPr>
      <w:color w:val="808080"/>
    </w:rPr>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lang w:eastAsia="ja-JP"/>
    </w:rPr>
  </w:style>
  <w:style w:type="character" w:customStyle="1" w:styleId="Heading2Char">
    <w:name w:val="Heading 2 Char"/>
    <w:basedOn w:val="DefaultParagraphFont"/>
    <w:link w:val="Heading2"/>
    <w:uiPriority w:val="9"/>
    <w:rPr>
      <w:rFonts w:eastAsiaTheme="minorHAnsi" w:cs="Times New Roman"/>
      <w:b/>
      <w:color w:val="5B9BD5" w:themeColor="accent1"/>
      <w:spacing w:val="20"/>
      <w:kern w:val="24"/>
      <w:sz w:val="28"/>
      <w:szCs w:val="28"/>
      <w:lang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eastAsia="ja-JP"/>
    </w:rPr>
  </w:style>
  <w:style w:type="paragraph" w:styleId="Header">
    <w:name w:val="header"/>
    <w:basedOn w:val="Normal"/>
    <w:link w:val="HeaderChar"/>
    <w:uiPriority w:val="99"/>
    <w:semiHidden/>
    <w:unhideWhenUsed/>
    <w:pPr>
      <w:tabs>
        <w:tab w:val="center" w:pos="4320"/>
        <w:tab w:val="right" w:pos="8640"/>
      </w:tabs>
      <w:spacing w:after="180" w:line="264" w:lineRule="auto"/>
    </w:pPr>
    <w:rPr>
      <w:rFonts w:eastAsiaTheme="minorHAnsi" w:cs="Times New Roman"/>
      <w:sz w:val="23"/>
      <w:szCs w:val="20"/>
      <w:lang w:eastAsia="ja-JP"/>
    </w:rPr>
  </w:style>
  <w:style w:type="character" w:customStyle="1" w:styleId="HeaderChar">
    <w:name w:val="Header Char"/>
    <w:basedOn w:val="DefaultParagraphFont"/>
    <w:link w:val="Header"/>
    <w:uiPriority w:val="99"/>
    <w:semiHidden/>
    <w:rPr>
      <w:rFonts w:eastAsiaTheme="minorHAnsi" w:cs="Times New Roman"/>
      <w:sz w:val="23"/>
      <w:szCs w:val="20"/>
      <w:lang w:eastAsia="ja-JP"/>
    </w:rPr>
  </w:style>
  <w:style w:type="paragraph" w:styleId="IntenseQuote">
    <w:name w:val="Intense Quote"/>
    <w:basedOn w:val="Normal"/>
    <w:link w:val="IntenseQuote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lang w:eastAsia="ja-JP"/>
    </w:rPr>
  </w:style>
  <w:style w:type="character" w:customStyle="1" w:styleId="IntenseQuoteChar">
    <w:name w:val="Intense Quote Char"/>
    <w:basedOn w:val="DefaultParagraphFont"/>
    <w:link w:val="IntenseQuote"/>
    <w:uiPriority w:val="30"/>
    <w:rPr>
      <w:rFonts w:eastAsiaTheme="minorHAnsi" w:cs="Times New Roman"/>
      <w:b/>
      <w:color w:val="ED7D31" w:themeColor="accent2"/>
      <w:kern w:val="24"/>
      <w:sz w:val="23"/>
      <w:szCs w:val="20"/>
      <w:shd w:val="clear" w:color="auto" w:fill="FFFFFF" w:themeFill="background1"/>
      <w:lang w:eastAsia="ja-JP"/>
    </w:rPr>
  </w:style>
  <w:style w:type="paragraph" w:styleId="BalloonText">
    <w:name w:val="Balloon Text"/>
    <w:basedOn w:val="Normal"/>
    <w:link w:val="BalloonTextChar"/>
    <w:uiPriority w:val="99"/>
    <w:semiHidden/>
    <w:unhideWhenUsed/>
    <w:pPr>
      <w:spacing w:after="180" w:line="264" w:lineRule="auto"/>
    </w:pPr>
    <w:rPr>
      <w:rFonts w:ascii="Tahoma" w:eastAsiaTheme="minorHAnsi" w:hAnsi="Tahoma" w:cs="Tahoma"/>
      <w:sz w:val="16"/>
      <w:szCs w:val="16"/>
      <w:lang w:eastAsia="ja-JP"/>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ja-JP"/>
    </w:rPr>
  </w:style>
  <w:style w:type="character" w:styleId="Emphasis">
    <w:name w:val="Emphasis"/>
    <w:uiPriority w:val="20"/>
    <w:qFormat/>
    <w:rPr>
      <w:rFonts w:asciiTheme="minorHAnsi" w:hAnsiTheme="minorHAnsi"/>
      <w:b/>
      <w:i/>
      <w:color w:val="44546A" w:themeColor="text2"/>
      <w:spacing w:val="10"/>
      <w:sz w:val="23"/>
    </w:rPr>
  </w:style>
  <w:style w:type="paragraph" w:customStyle="1" w:styleId="NoSpacing">
    <w:name w:val="NoSpacing"/>
    <w:basedOn w:val="Normal"/>
    <w:qFormat/>
    <w:pPr>
      <w:framePr w:wrap="auto" w:hAnchor="page" w:xAlign="center" w:yAlign="top"/>
      <w:spacing w:after="0" w:line="240" w:lineRule="auto"/>
      <w:suppressOverlap/>
    </w:pPr>
    <w:rPr>
      <w:rFonts w:eastAsiaTheme="minorHAnsi" w:cs="Times New Roman"/>
      <w:sz w:val="23"/>
      <w:szCs w:val="120"/>
      <w:lang w:eastAsia="ja-JP"/>
    </w:rPr>
  </w:style>
  <w:style w:type="character" w:styleId="Hyperlink">
    <w:name w:val="Hyperlink"/>
    <w:basedOn w:val="DefaultParagraphFont"/>
    <w:uiPriority w:val="99"/>
    <w:semiHidden/>
    <w:unhideWhenUsed/>
    <w:rPr>
      <w:color w:val="0563C1" w:themeColor="hyperlink"/>
      <w:u w:val="single"/>
    </w:rPr>
  </w:style>
  <w:style w:type="paragraph" w:styleId="NoSpacing0">
    <w:name w:val="No Spacing"/>
    <w:basedOn w:val="Normal"/>
    <w:uiPriority w:val="99"/>
    <w:qFormat/>
    <w:pPr>
      <w:spacing w:after="0" w:line="240" w:lineRule="auto"/>
    </w:pPr>
    <w:rPr>
      <w:rFonts w:eastAsiaTheme="minorHAnsi" w:cs="Times New Roman"/>
      <w:sz w:val="23"/>
      <w:szCs w:val="20"/>
      <w:lang w:eastAsia="ja-JP"/>
    </w:rPr>
  </w:style>
  <w:style w:type="paragraph" w:styleId="TOC1">
    <w:name w:val="toc 1"/>
    <w:basedOn w:val="Normal"/>
    <w:next w:val="Normal"/>
    <w:autoRedefine/>
    <w:uiPriority w:val="99"/>
    <w:unhideWhenUsed/>
    <w:qFormat/>
    <w:pPr>
      <w:tabs>
        <w:tab w:val="right" w:leader="dot" w:pos="8630"/>
      </w:tabs>
      <w:spacing w:before="180" w:after="40" w:line="240" w:lineRule="auto"/>
    </w:pPr>
    <w:rPr>
      <w:rFonts w:eastAsiaTheme="minorHAnsi" w:cs="Times New Roman"/>
      <w:b/>
      <w:caps/>
      <w:noProof/>
      <w:color w:val="44546A" w:themeColor="text2"/>
      <w:sz w:val="23"/>
      <w:szCs w:val="20"/>
      <w:lang w:eastAsia="ja-JP"/>
    </w:rPr>
  </w:style>
  <w:style w:type="paragraph" w:styleId="TOC2">
    <w:name w:val="toc 2"/>
    <w:basedOn w:val="Normal"/>
    <w:next w:val="Normal"/>
    <w:autoRedefine/>
    <w:uiPriority w:val="99"/>
    <w:unhideWhenUsed/>
    <w:qFormat/>
    <w:pPr>
      <w:tabs>
        <w:tab w:val="right" w:leader="dot" w:pos="8630"/>
      </w:tabs>
      <w:spacing w:after="40" w:line="240" w:lineRule="auto"/>
      <w:ind w:left="144"/>
    </w:pPr>
    <w:rPr>
      <w:rFonts w:eastAsiaTheme="minorHAnsi" w:cs="Times New Roman"/>
      <w:noProof/>
      <w:sz w:val="23"/>
      <w:szCs w:val="20"/>
      <w:lang w:eastAsia="ja-JP"/>
    </w:rPr>
  </w:style>
  <w:style w:type="character" w:styleId="IntenseEmphasis">
    <w:name w:val="Intense Emphasis"/>
    <w:basedOn w:val="DefaultParagraphFont"/>
    <w:uiPriority w:val="21"/>
    <w:qFormat/>
    <w:rPr>
      <w:rFonts w:asciiTheme="minorHAnsi" w:hAnsiTheme="minorHAnsi"/>
      <w:b/>
      <w:dstrike w:val="0"/>
      <w:color w:val="ED7D31" w:themeColor="accent2"/>
      <w:spacing w:val="10"/>
      <w:w w:val="100"/>
      <w:kern w:val="0"/>
      <w:position w:val="0"/>
      <w:sz w:val="23"/>
      <w:vertAlign w:val="baseline"/>
    </w:rPr>
  </w:style>
  <w:style w:type="paragraph" w:customStyle="1" w:styleId="FooterEven">
    <w:name w:val="Footer Even"/>
    <w:basedOn w:val="Normal"/>
    <w:qFormat/>
    <w:pPr>
      <w:pBdr>
        <w:top w:val="single" w:sz="4" w:space="1" w:color="5B9BD5" w:themeColor="accent1"/>
      </w:pBdr>
      <w:spacing w:after="180" w:line="264" w:lineRule="auto"/>
    </w:pPr>
    <w:rPr>
      <w:rFonts w:eastAsiaTheme="minorHAnsi" w:cs="Times New Roman"/>
      <w:color w:val="44546A" w:themeColor="text2"/>
      <w:sz w:val="20"/>
      <w:szCs w:val="20"/>
      <w:lang w:eastAsia="ja-JP"/>
    </w:rPr>
  </w:style>
  <w:style w:type="paragraph" w:customStyle="1" w:styleId="FooterOdd">
    <w:name w:val="Footer Odd"/>
    <w:basedOn w:val="Normal"/>
    <w:qFormat/>
    <w:pPr>
      <w:pBdr>
        <w:top w:val="single" w:sz="4" w:space="1" w:color="5B9BD5" w:themeColor="accent1"/>
      </w:pBdr>
      <w:spacing w:after="180" w:line="264" w:lineRule="auto"/>
      <w:jc w:val="right"/>
    </w:pPr>
    <w:rPr>
      <w:rFonts w:eastAsiaTheme="minorHAnsi" w:cs="Times New Roman"/>
      <w:color w:val="44546A" w:themeColor="text2"/>
      <w:sz w:val="20"/>
      <w:szCs w:val="20"/>
      <w:lang w:eastAsia="ja-JP"/>
    </w:rPr>
  </w:style>
  <w:style w:type="paragraph" w:customStyle="1" w:styleId="HeaderEven">
    <w:name w:val="Header Even"/>
    <w:basedOn w:val="NoSpacing0"/>
    <w:qFormat/>
    <w:pPr>
      <w:pBdr>
        <w:bottom w:val="single" w:sz="4" w:space="1" w:color="5B9BD5" w:themeColor="accent1"/>
      </w:pBdr>
    </w:pPr>
    <w:rPr>
      <w:b/>
      <w:color w:val="44546A" w:themeColor="text2"/>
      <w:sz w:val="20"/>
    </w:rPr>
  </w:style>
  <w:style w:type="paragraph" w:customStyle="1" w:styleId="HeaderOdd">
    <w:name w:val="Header Odd"/>
    <w:basedOn w:val="NoSpacing0"/>
    <w:qFormat/>
    <w:pPr>
      <w:pBdr>
        <w:bottom w:val="single" w:sz="4" w:space="1" w:color="5B9BD5" w:themeColor="accent1"/>
      </w:pBdr>
      <w:jc w:val="right"/>
    </w:pPr>
    <w:rPr>
      <w:b/>
      <w:color w:val="44546A" w:themeColor="text2"/>
      <w:sz w:val="20"/>
    </w:rPr>
  </w:style>
  <w:style w:type="paragraph" w:customStyle="1" w:styleId="IntensePullQuote">
    <w:name w:val="Intense Pull Quote"/>
    <w:pPr>
      <w:spacing w:after="180" w:line="264" w:lineRule="auto"/>
    </w:pPr>
    <w:rPr>
      <w:rFonts w:eastAsiaTheme="minorHAnsi" w:cs="Times New Roman"/>
      <w:sz w:val="23"/>
      <w:szCs w:val="20"/>
      <w:lang w:eastAsia="ja-JP"/>
    </w:rPr>
  </w:style>
  <w:style w:type="paragraph" w:customStyle="1" w:styleId="ModeratePullQuote1">
    <w:name w:val="Moderate Pull Quote1"/>
    <w:pPr>
      <w:spacing w:after="180" w:line="264" w:lineRule="auto"/>
    </w:pPr>
    <w:rPr>
      <w:rFonts w:eastAsiaTheme="minorHAnsi" w:cs="Times New Roman"/>
      <w:sz w:val="23"/>
      <w:szCs w:val="20"/>
      <w:lang w:eastAsia="ja-JP"/>
    </w:rPr>
  </w:style>
  <w:style w:type="paragraph" w:customStyle="1" w:styleId="SidebarIntense">
    <w:name w:val="Sidebar Intense"/>
    <w:pPr>
      <w:spacing w:after="180" w:line="264" w:lineRule="auto"/>
    </w:pPr>
    <w:rPr>
      <w:rFonts w:eastAsiaTheme="minorHAnsi" w:cs="Times New Roman"/>
      <w:color w:val="000000"/>
      <w:sz w:val="23"/>
      <w:lang w:eastAsia="ja-JP"/>
    </w:rPr>
  </w:style>
  <w:style w:type="paragraph" w:customStyle="1" w:styleId="SidebarModerate">
    <w:name w:val="Sidebar Moderate"/>
    <w:pPr>
      <w:spacing w:after="180" w:line="264" w:lineRule="auto"/>
    </w:pPr>
    <w:rPr>
      <w:rFonts w:eastAsiaTheme="minorHAnsi" w:cs="Times New Roman"/>
      <w:color w:val="000000"/>
      <w:sz w:val="23"/>
      <w:lang w:eastAsia="ja-JP"/>
    </w:rPr>
  </w:style>
  <w:style w:type="paragraph" w:customStyle="1" w:styleId="SidebarSubtle">
    <w:name w:val="Sidebar Subtle"/>
    <w:pPr>
      <w:spacing w:after="180" w:line="264" w:lineRule="auto"/>
    </w:pPr>
    <w:rPr>
      <w:rFonts w:eastAsiaTheme="minorHAnsi" w:cs="Times New Roman"/>
      <w:color w:val="000000"/>
      <w:sz w:val="23"/>
      <w:lang w:eastAsia="ja-JP"/>
    </w:rPr>
  </w:style>
  <w:style w:type="paragraph" w:customStyle="1" w:styleId="6D39777595424209984A1B5F86A33CFD1">
    <w:name w:val="6D39777595424209984A1B5F86A33CFD1"/>
    <w:pPr>
      <w:spacing w:after="180" w:line="264" w:lineRule="auto"/>
    </w:pPr>
    <w:rPr>
      <w:rFonts w:eastAsiaTheme="minorHAnsi" w:cs="Times New Roman"/>
      <w:kern w:val="24"/>
      <w:sz w:val="23"/>
      <w:szCs w:val="20"/>
      <w:lang w:eastAsia="ja-JP"/>
      <w14:ligatures w14:val="standardContextual"/>
    </w:rPr>
  </w:style>
  <w:style w:type="paragraph" w:styleId="Title">
    <w:name w:val="Title"/>
    <w:basedOn w:val="Normal"/>
    <w:link w:val="TitleChar"/>
    <w:uiPriority w:val="10"/>
    <w:qFormat/>
    <w:pPr>
      <w:spacing w:after="0" w:line="240" w:lineRule="auto"/>
    </w:pPr>
    <w:rPr>
      <w:rFonts w:eastAsiaTheme="minorHAnsi" w:cs="Times New Roman"/>
      <w:color w:val="44546A" w:themeColor="text2"/>
      <w:kern w:val="24"/>
      <w:sz w:val="72"/>
      <w:szCs w:val="48"/>
      <w:lang w:eastAsia="ja-JP"/>
    </w:rPr>
  </w:style>
  <w:style w:type="character" w:customStyle="1" w:styleId="TitleChar">
    <w:name w:val="Title Char"/>
    <w:basedOn w:val="DefaultParagraphFont"/>
    <w:link w:val="Title"/>
    <w:uiPriority w:val="10"/>
    <w:rPr>
      <w:rFonts w:eastAsiaTheme="minorHAnsi" w:cs="Times New Roman"/>
      <w:color w:val="44546A" w:themeColor="text2"/>
      <w:kern w:val="24"/>
      <w:sz w:val="72"/>
      <w:szCs w:val="48"/>
      <w:lang w:eastAsia="ja-JP"/>
    </w:rPr>
  </w:style>
  <w:style w:type="paragraph" w:customStyle="1" w:styleId="59F29C85846243639003455C84089FDE2">
    <w:name w:val="59F29C85846243639003455C84089FDE2"/>
    <w:pPr>
      <w:spacing w:after="0" w:line="240" w:lineRule="auto"/>
    </w:pPr>
    <w:rPr>
      <w:rFonts w:eastAsiaTheme="minorHAnsi" w:cs="Times New Roman"/>
      <w:kern w:val="24"/>
      <w:sz w:val="23"/>
      <w:szCs w:val="20"/>
      <w:lang w:eastAsia="ja-JP"/>
      <w14:ligatures w14:val="standardContextual"/>
    </w:rPr>
  </w:style>
  <w:style w:type="paragraph" w:customStyle="1" w:styleId="D4FEE3C35FCE41C3A2C6F42828E988F22">
    <w:name w:val="D4FEE3C35FCE41C3A2C6F42828E988F22"/>
    <w:pPr>
      <w:spacing w:after="0" w:line="240" w:lineRule="auto"/>
    </w:pPr>
    <w:rPr>
      <w:rFonts w:eastAsiaTheme="minorHAnsi" w:cs="Times New Roman"/>
      <w:kern w:val="24"/>
      <w:sz w:val="23"/>
      <w:szCs w:val="20"/>
      <w:lang w:eastAsia="ja-JP"/>
      <w14:ligatures w14:val="standardContextual"/>
    </w:rPr>
  </w:style>
  <w:style w:type="paragraph" w:customStyle="1" w:styleId="7BEECB92FEAD4CED97FF4347925512BD2">
    <w:name w:val="7BEECB92FEAD4CED97FF4347925512BD2"/>
    <w:pPr>
      <w:spacing w:after="0" w:line="240" w:lineRule="auto"/>
    </w:pPr>
    <w:rPr>
      <w:rFonts w:eastAsiaTheme="minorHAnsi" w:cs="Times New Roman"/>
      <w:kern w:val="24"/>
      <w:sz w:val="23"/>
      <w:szCs w:val="20"/>
      <w:lang w:eastAsia="ja-JP"/>
      <w14:ligatures w14:val="standardContextual"/>
    </w:rPr>
  </w:style>
  <w:style w:type="paragraph" w:customStyle="1" w:styleId="PlaceholderAutotext51">
    <w:name w:val="PlaceholderAutotext_51"/>
    <w:pPr>
      <w:spacing w:after="180" w:line="264" w:lineRule="auto"/>
    </w:pPr>
    <w:rPr>
      <w:rFonts w:eastAsiaTheme="minorHAnsi" w:cs="Times New Roman"/>
      <w:kern w:val="24"/>
      <w:sz w:val="23"/>
      <w:szCs w:val="20"/>
      <w:lang w:eastAsia="ja-JP"/>
      <w14:ligatures w14:val="standardContextual"/>
    </w:rPr>
  </w:style>
  <w:style w:type="paragraph" w:customStyle="1" w:styleId="E6D1B324E0E84A2A8868CC3317AC2EA3">
    <w:name w:val="E6D1B324E0E84A2A8868CC3317AC2EA3"/>
    <w:rsid w:val="001D3A70"/>
    <w:rPr>
      <w:lang w:val="fr-CH" w:eastAsia="fr-CH"/>
    </w:rPr>
  </w:style>
  <w:style w:type="paragraph" w:customStyle="1" w:styleId="E055BB0DBDE3436581298D60549370A5">
    <w:name w:val="E055BB0DBDE3436581298D60549370A5"/>
    <w:rsid w:val="0060697B"/>
    <w:pPr>
      <w:spacing w:after="160" w:line="259" w:lineRule="auto"/>
    </w:pPr>
    <w:rPr>
      <w:lang w:val="fr-CH" w:eastAsia="fr-CH"/>
    </w:rPr>
  </w:style>
  <w:style w:type="paragraph" w:customStyle="1" w:styleId="693D11090C844AFF9F80496883C558C1">
    <w:name w:val="693D11090C844AFF9F80496883C558C1"/>
    <w:rsid w:val="0060697B"/>
    <w:pPr>
      <w:spacing w:after="160" w:line="259" w:lineRule="auto"/>
    </w:pPr>
    <w:rPr>
      <w:lang w:val="fr-CH" w:eastAsia="fr-CH"/>
    </w:rPr>
  </w:style>
  <w:style w:type="paragraph" w:customStyle="1" w:styleId="FEFD2994EA2A4B5CBC18E5D93C3B7244">
    <w:name w:val="FEFD2994EA2A4B5CBC18E5D93C3B7244"/>
    <w:rsid w:val="0060697B"/>
    <w:pPr>
      <w:spacing w:after="160" w:line="259" w:lineRule="auto"/>
    </w:pPr>
    <w:rPr>
      <w:lang w:val="fr-CH" w:eastAsia="fr-CH"/>
    </w:rPr>
  </w:style>
  <w:style w:type="paragraph" w:customStyle="1" w:styleId="B00014C1E9994312AF95823E5BB73BA5">
    <w:name w:val="B00014C1E9994312AF95823E5BB73BA5"/>
    <w:rsid w:val="0060697B"/>
    <w:pPr>
      <w:spacing w:after="160" w:line="259" w:lineRule="auto"/>
    </w:pPr>
    <w:rPr>
      <w:lang w:val="fr-CH" w:eastAsia="fr-CH"/>
    </w:rPr>
  </w:style>
  <w:style w:type="paragraph" w:customStyle="1" w:styleId="37655CAB3D9F4976B7D328874BB52A40">
    <w:name w:val="37655CAB3D9F4976B7D328874BB52A40"/>
    <w:rsid w:val="0060697B"/>
    <w:pPr>
      <w:spacing w:after="160" w:line="259" w:lineRule="auto"/>
    </w:pPr>
    <w:rPr>
      <w:lang w:val="fr-CH" w:eastAsia="fr-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2015-03-27T00:00:00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b:Source>
    <b:Tag>AAd02</b:Tag>
    <b:SourceType>Report</b:SourceType>
    <b:Guid>{0610ED6F-D0B3-4C1C-AC9D-CE212C2BC802}</b:Guid>
    <b:Title>Lignocellulosic Biomass to Ethanol Process Design and Economics Utilizing Co-Current Dilute Acid Prehydrolysis and Enzymatic Hydrolysis for corn stover</b:Title>
    <b:Year>2002</b:Year>
    <b:LCID>en-US</b:LCID>
    <b:Author>
      <b:Author>
        <b:Corporate>Aden, A., Ruth, M., Ibsen, K., Jechura, J., Neeves, K., Sheehan, J. and Wallace, B. National Renewable Energy Laboratory Golden CO</b:Corporate>
      </b:Author>
    </b:Author>
    <b:Publisher>Montague, L., Slayton, A. and Lukas, J.</b:Publisher>
    <b:City>Seatlle, Washington</b:City>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AB1D2F5F-AA30-4270-BC2D-18ABBA53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0</TotalTime>
  <Pages>1</Pages>
  <Words>4426</Words>
  <Characters>24346</Characters>
  <Application>Microsoft Office Word</Application>
  <DocSecurity>0</DocSecurity>
  <Lines>202</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ProEthanol2g</vt:lpstr>
      <vt:lpstr>ProEthanol2g</vt:lpstr>
    </vt:vector>
  </TitlesOfParts>
  <Company>GR-GN</Company>
  <LinksUpToDate>false</LinksUpToDate>
  <CharactersWithSpaces>28715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ProEthanol2g</dc:title>
  <dc:subject>Integration of Biology and Engineering into an Economical and Energy-Efficient 2G Bioethanol Biorefinery</dc:subject>
  <dc:creator>edgard.gnansounou@epfl.ch</dc:creator>
  <cp:lastModifiedBy>Ruiz Pachon Elia Mercedes</cp:lastModifiedBy>
  <cp:revision>3</cp:revision>
  <cp:lastPrinted>2015-03-12T10:28:00Z</cp:lastPrinted>
  <dcterms:created xsi:type="dcterms:W3CDTF">2015-05-29T10:54:00Z</dcterms:created>
  <dcterms:modified xsi:type="dcterms:W3CDTF">2015-05-29T10:54:00Z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User Name_1">
    <vt:lpwstr>juand.villegas@gmail.com@www.mendeley.com</vt:lpwstr>
  </property>
  <property fmtid="{D5CDD505-2E9C-101B-9397-08002B2CF9AE}" pid="6" name="Mendeley Recent Style Name 0_1">
    <vt:lpwstr>American Medical Association</vt:lpwstr>
  </property>
  <property fmtid="{D5CDD505-2E9C-101B-9397-08002B2CF9AE}" pid="7" name="Mendeley Recent Style Id 0_1">
    <vt:lpwstr>http://www.zotero.org/styles/ama</vt:lpwstr>
  </property>
  <property fmtid="{D5CDD505-2E9C-101B-9397-08002B2CF9AE}" pid="8" name="Mendeley Recent Style Name 1_1">
    <vt:lpwstr>American Political Science Association</vt:lpwstr>
  </property>
  <property fmtid="{D5CDD505-2E9C-101B-9397-08002B2CF9AE}" pid="9" name="Mendeley Recent Style Id 1_1">
    <vt:lpwstr>http://www.zotero.org/styles/apsa</vt:lpwstr>
  </property>
  <property fmtid="{D5CDD505-2E9C-101B-9397-08002B2CF9AE}" pid="10" name="Mendeley Recent Style Name 2_1">
    <vt:lpwstr>American Psychological Association 6th Edition</vt:lpwstr>
  </property>
  <property fmtid="{D5CDD505-2E9C-101B-9397-08002B2CF9AE}" pid="11" name="Mendeley Recent Style Id 2_1">
    <vt:lpwstr>http://www.zotero.org/styles/apa</vt:lpwstr>
  </property>
  <property fmtid="{D5CDD505-2E9C-101B-9397-08002B2CF9AE}" pid="12" name="Mendeley Recent Style Name 3_1">
    <vt:lpwstr>American Sociological Association</vt:lpwstr>
  </property>
  <property fmtid="{D5CDD505-2E9C-101B-9397-08002B2CF9AE}" pid="13" name="Mendeley Recent Style Id 3_1">
    <vt:lpwstr>http://www.zotero.org/styles/asa</vt:lpwstr>
  </property>
  <property fmtid="{D5CDD505-2E9C-101B-9397-08002B2CF9AE}" pid="14" name="Mendeley Recent Style Name 4_1">
    <vt:lpwstr>Chicago Manual of Style (Author-Date format)</vt:lpwstr>
  </property>
  <property fmtid="{D5CDD505-2E9C-101B-9397-08002B2CF9AE}" pid="15" name="Mendeley Recent Style Id 4_1">
    <vt:lpwstr>http://www.zotero.org/styles/chicago-author-date</vt:lpwstr>
  </property>
  <property fmtid="{D5CDD505-2E9C-101B-9397-08002B2CF9AE}" pid="16" name="Mendeley Recent Style Name 5_1">
    <vt:lpwstr>Harvard Reference format 1 (Author-Date)</vt:lpwstr>
  </property>
  <property fmtid="{D5CDD505-2E9C-101B-9397-08002B2CF9AE}" pid="17" name="Mendeley Recent Style Id 5_1">
    <vt:lpwstr>http://www.zotero.org/styles/harvard1</vt:lpwstr>
  </property>
  <property fmtid="{D5CDD505-2E9C-101B-9397-08002B2CF9AE}" pid="18" name="Mendeley Recent Style Name 6_1">
    <vt:lpwstr>IEEE</vt:lpwstr>
  </property>
  <property fmtid="{D5CDD505-2E9C-101B-9397-08002B2CF9AE}" pid="19" name="Mendeley Recent Style Id 6_1">
    <vt:lpwstr>http://www.zotero.org/styles/ieee</vt:lpwstr>
  </property>
  <property fmtid="{D5CDD505-2E9C-101B-9397-08002B2CF9AE}" pid="20" name="Mendeley Recent Style Name 7_1">
    <vt:lpwstr>Modern Humanities Research Association (Note with Bibliography)</vt:lpwstr>
  </property>
  <property fmtid="{D5CDD505-2E9C-101B-9397-08002B2CF9AE}" pid="21" name="Mendeley Recent Style Id 7_1">
    <vt:lpwstr>http://www.zotero.org/styles/mhra</vt:lpwstr>
  </property>
  <property fmtid="{D5CDD505-2E9C-101B-9397-08002B2CF9AE}" pid="22" name="Mendeley Recent Style Name 8_1">
    <vt:lpwstr>Modern Language Association</vt:lpwstr>
  </property>
  <property fmtid="{D5CDD505-2E9C-101B-9397-08002B2CF9AE}" pid="23" name="Mendeley Recent Style Id 8_1">
    <vt:lpwstr>http://www.zotero.org/styles/mla</vt:lpwstr>
  </property>
  <property fmtid="{D5CDD505-2E9C-101B-9397-08002B2CF9AE}" pid="24" name="Mendeley Recent Style Name 9_1">
    <vt:lpwstr>Nature Journal</vt:lpwstr>
  </property>
  <property fmtid="{D5CDD505-2E9C-101B-9397-08002B2CF9AE}" pid="25" name="Mendeley Recent Style Id 9_1">
    <vt:lpwstr>http://www.zotero.org/styles/nature</vt:lpwstr>
  </property>
</Properties>
</file>